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97819a4664e15" /></Relationships>
</file>

<file path=word/document.xml><?xml version="1.0" encoding="utf-8"?>
<w:document xmlns:r="http://schemas.openxmlformats.org/officeDocument/2006/relationships" xmlns:w="http://schemas.openxmlformats.org/wordprocessingml/2006/main">
  <w:body>
    <w:p>
      <w:pPr>
        <w:pStyle w:val="Title"/>
      </w:pPr>
      <w:r>
        <w:t>Address—statistical area, mesh block code (ASGS edition 3)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mesh block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Mesh block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0561cb1244ac6">
              <w:r>
                <w:rPr>
                  <w:rStyle w:val="Hyperlink"/>
                  <w:color w:val="244061"/>
                </w:rPr>
                <w:t xml:space="preserve">Australian Institute of Health and Welfare</w:t>
              </w:r>
            </w:hyperlink>
            <w:r>
              <w:rPr>
                <w:rStyle w:val="row-content"/>
                <w:color w:val="244061"/>
              </w:rPr>
              <w:t xml:space="preserve">, Recorded 16/05/2024</w:t>
            </w:r>
          </w:p>
          <w:p>
            <w:pPr>
              <w:spacing w:before="0" w:after="0"/>
            </w:pPr>
            <w:hyperlink w:history="true" r:id="R2cb58217d273430b">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in the Australian Statistical Geography Standard (ASGS) used for describing the location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c9e9518c2f4c06">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59498905b4cb7">
              <w:r>
                <w:rPr>
                  <w:rStyle w:val="Hyperlink"/>
                </w:rPr>
                <w:t xml:space="preserve">Mesh block code (ASGS Edition 3)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e56f6cc78d47a8">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Mesh block code structure</w:t>
            </w:r>
          </w:p>
          <w:p>
            <w:pPr>
              <w:spacing w:after="160"/>
            </w:pPr>
            <w:r>
              <w:rPr>
                <w:rStyle w:val="row-content-rich-text"/>
              </w:rPr>
              <w:t xml:space="preserve">The 11-digit mesh block code comprises: state/territory identifier (1 digit), mesh block identifier (10 digits).</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State/territory</w:t>
                  </w:r>
                </w:p>
              </w:tc>
              <w:tc>
                <w:tcPr>
                  <w:tcW w:w="2700" w:type="pct"/>
                  <w:vAlign w:val="top"/>
                </w:tcPr>
                <w:p>
                  <w:r>
                    <w:t xml:space="preserve">Mesh block</w:t>
                  </w:r>
                </w:p>
              </w:tc>
            </w:tr>
            <w:tr>
              <w:trPr/>
              <w:tc>
                <w:tcPr>
                  <w:tcW w:w="2250" w:type="pct"/>
                  <w:vAlign w:val="top"/>
                </w:tcPr>
                <w:p>
                  <w:r>
                    <w:t xml:space="preserve">N</w:t>
                  </w:r>
                </w:p>
              </w:tc>
              <w:tc>
                <w:tcPr>
                  <w:tcW w:w="2700" w:type="pct"/>
                  <w:vAlign w:val="top"/>
                </w:tcPr>
                <w:p>
                  <w:r>
                    <w:t xml:space="preserve">NNNNNNNNNN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Mesh blocks align to ASGS Edition 3 statistical local area (SLA) boundaries.</w:t>
            </w:r>
          </w:p>
          <w:p>
            <w:pPr/>
            <w:r>
              <w:rPr>
                <w:rStyle w:val="row-content-rich-text"/>
              </w:rPr>
              <w:t xml:space="preserve">There are approximately 347,000 mesh blocks covering the whole of Australia without gaps or overlaps. They broadly identify land use such as residential, commercial, agricultural and parks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Australian Statistical Geography Standard (ASGS) Edition 3. Canberra: ABS. Viewed 16 May 2024, </w:t>
            </w:r>
            <w:hyperlink w:history="true" r:id="R35e0744baa3e4dd9">
              <w:r>
                <w:rPr>
                  <w:rStyle w:val="Hyperlink"/>
                </w:rPr>
                <w:t xml:space="preserve">www.abs.gov.au/statistics/standards/australian-statistical-geography-standard-asgs-edition-3/jul2021-jun2026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a0f6bbdbc4bd1">
              <w:r>
                <w:rPr>
                  <w:rStyle w:val="Hyperlink"/>
                </w:rPr>
                <w:t xml:space="preserve">National Preschool Attendance Collection DSS 2024</w:t>
              </w:r>
            </w:hyperlink>
          </w:p>
          <w:p>
            <w:pPr>
              <w:pStyle w:val="registration-status"/>
              <w:spacing w:before="0" w:after="0"/>
            </w:pPr>
            <w:hyperlink w:history="true" r:id="Ra57da05267bc46a2">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should be reported for the address of the child only.</w:t>
            </w:r>
            <w:r>
              <w:br/>
            </w:r>
            <w:r>
              <w:rPr>
                <w:rStyle w:val="row-content"/>
              </w:rPr>
              <w:t xml:space="preserve">This element will be produced by the ABS for each record on the supplied child address file, and supplied to jurisdictions. Jurisdictions will be required to merge this element onto their analytical dataset using the UNIQUE_ID item they provided on the child address file.</w:t>
            </w:r>
          </w:p>
          <w:p>
            <w:r>
              <w:br/>
            </w:r>
            <w:r>
              <w:br/>
            </w:r>
          </w:p>
        </w:tc>
      </w:tr>
    </w:tbl>
    <w:p/>
    <w:tbl>
      <w:tblPr>
        <w:tblStyle w:val="TableGrid"/>
        <w:tblW w:w="0" w:type="auto"/>
      </w:tblPr>
    </w:tbl>
    <w:p>
      <w:r>
        <w:br/>
      </w:r>
    </w:p>
    <w:sectPr>
      <w:footerReference xmlns:r="http://schemas.openxmlformats.org/officeDocument/2006/relationships" w:type="default" r:id="Rb370da8a4bd7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792913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e5eb38895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0da8a4bd74077" /><Relationship Type="http://schemas.openxmlformats.org/officeDocument/2006/relationships/header" Target="/word/header1.xml" Id="Rdc2373b0318d4739" /><Relationship Type="http://schemas.openxmlformats.org/officeDocument/2006/relationships/settings" Target="/word/settings.xml" Id="R5d556c1c023f4262" /><Relationship Type="http://schemas.openxmlformats.org/officeDocument/2006/relationships/styles" Target="/word/styles.xml" Id="Rea4fd7c4c1d141e2" /><Relationship Type="http://schemas.openxmlformats.org/officeDocument/2006/relationships/hyperlink" Target="https://meteor.aihw.gov.au/RegistrationAuthority/24" TargetMode="External" Id="Ra170561cb1244ac6" /><Relationship Type="http://schemas.openxmlformats.org/officeDocument/2006/relationships/hyperlink" Target="https://meteor.aihw.gov.au/RegistrationAuthority/13" TargetMode="External" Id="R2cb58217d273430b" /><Relationship Type="http://schemas.openxmlformats.org/officeDocument/2006/relationships/hyperlink" Target="https://meteor.aihw.gov.au/content/660651" TargetMode="External" Id="R15c9e9518c2f4c06" /><Relationship Type="http://schemas.openxmlformats.org/officeDocument/2006/relationships/hyperlink" Target="https://meteor.aihw.gov.au/content/792910" TargetMode="External" Id="Rc8159498905b4cb7" /><Relationship Type="http://schemas.openxmlformats.org/officeDocument/2006/relationships/hyperlink" Target="https://meteor.aihw.gov.au/content/747163" TargetMode="External" Id="R7be56f6cc78d47a8" /><Relationship Type="http://schemas.openxmlformats.org/officeDocument/2006/relationships/hyperlink" Target="https://www.abs.gov.au/statistics/standards/australian-statistical-geography-standard-asgs-edition-3/jul2021-jun2026" TargetMode="External" Id="R35e0744baa3e4dd9" /><Relationship Type="http://schemas.openxmlformats.org/officeDocument/2006/relationships/hyperlink" Target="https://meteor.aihw.gov.au/content/792074" TargetMode="External" Id="R1c0a0f6bbdbc4bd1" /><Relationship Type="http://schemas.openxmlformats.org/officeDocument/2006/relationships/hyperlink" Target="https://meteor.aihw.gov.au/RegistrationAuthority/13" TargetMode="External" Id="Ra57da05267bc46a2" /></Relationships>
</file>

<file path=word/_rels/header1.xml.rels>&#65279;<?xml version="1.0" encoding="utf-8"?><Relationships xmlns="http://schemas.openxmlformats.org/package/2006/relationships"><Relationship Type="http://schemas.openxmlformats.org/officeDocument/2006/relationships/image" Target="/media/image.png" Id="Ra8de5eb388954415" /></Relationships>
</file>