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042e78057438d" /></Relationships>
</file>

<file path=word/document.xml><?xml version="1.0" encoding="utf-8"?>
<w:document xmlns:r="http://schemas.openxmlformats.org/officeDocument/2006/relationships" xmlns:w="http://schemas.openxmlformats.org/wordprocessingml/2006/main">
  <w:body>
    <w:p>
      <w:pPr>
        <w:pStyle w:val="Title"/>
      </w:pPr>
      <w:r>
        <w:t>Changelog - 15th May 2024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- 15th May 2024</w:t>
      </w:r>
    </w:p>
    <w:p>
      <w:pPr>
        <w:pStyle w:val="Heading2"/>
      </w:pPr>
      <w:r>
        <w:t xml:space="preserve">Released 15-05-2024</w:t>
      </w:r>
    </w:p>
    <w:p>
      <w:pPr>
        <w:pStyle w:val="Heading2"/>
      </w:pPr>
      <w:r>
        <w:t xml:space="preserve">Summary of updates:</w:t>
      </w:r>
    </w:p>
    <w:p>
      <w:pPr>
        <w:pStyle w:val="ListParagraph"/>
        <w:numPr>
          <w:ilvl w:val="0"/>
          <w:numId w:val="2"/>
        </w:numPr>
      </w:pPr>
      <w:r>
        <w:t xml:space="preserve">Improvements to how Registration Statuses and Authorisations are displayed.</w:t>
      </w:r>
    </w:p>
    <w:p>
      <w:pPr>
        <w:pStyle w:val="ListParagraph"/>
        <w:numPr>
          <w:ilvl w:val="0"/>
          <w:numId w:val="2"/>
        </w:numPr>
      </w:pPr>
      <w:r>
        <w:t xml:space="preserve">Timestamps should now appear in local time across the website and in downloads.</w:t>
      </w:r>
    </w:p>
    <w:p>
      <w:pPr>
        <w:pStyle w:val="ListParagraph"/>
        <w:numPr>
          <w:ilvl w:val="0"/>
          <w:numId w:val="2"/>
        </w:numPr>
      </w:pPr>
      <w:r>
        <w:t xml:space="preserve">Broken Data Element links in Indicators now fixed.</w:t>
      </w:r>
    </w:p>
    <w:p>
      <w:pPr>
        <w:pStyle w:val="ListParagraph"/>
        <w:numPr>
          <w:ilvl w:val="0"/>
          <w:numId w:val="2"/>
        </w:numPr>
      </w:pPr>
      <w:r>
        <w:t xml:space="preserve">Footer typo now fixed.</w:t>
      </w:r>
    </w:p>
    <w:p>
      <w:pPr>
        <w:pStyle w:val="Heading3"/>
      </w:pPr>
      <w:r>
        <w:t xml:space="preserve">(Site Version 1.1.20240418.2) </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Metadata Rendering</w:t>
            </w:r>
          </w:p>
        </w:tc>
      </w:tr>
      <w:tr>
        <w:trPr/>
        <w:tc>
          <w:tcPr>
            <w:vMerge w:val="restart"/>
            <w:vAlign w:val="top"/>
          </w:tcPr>
          <w:p>
            <w:r>
              <w:t xml:space="preserve">Fixed</w:t>
            </w:r>
          </w:p>
        </w:tc>
        <w:tc>
          <w:tcPr>
            <w:vAlign w:val="top"/>
          </w:tcPr>
          <w:p>
            <w:r>
              <w:t xml:space="preserve">Timestamps:</w:t>
            </w:r>
            <w:r>
              <w:br/>
            </w:r>
            <w:r>
              <w:t xml:space="preserve">Created date and Modified date now display in local timezone instead of UTC.</w:t>
            </w:r>
          </w:p>
        </w:tc>
        <w:tc>
          <w:tcPr>
            <w:vAlign w:val="top"/>
          </w:tcPr>
          <w:p>
            <w:r>
              <w:t xml:space="preserve">22601</w:t>
            </w:r>
          </w:p>
        </w:tc>
      </w:tr>
      <w:tr>
        <w:trPr/>
        <w:tc>
          <w:tcPr>
            <w:tcW w:w="0"/>
            <w:vMerge/>
          </w:tcPr>
          <w:p/>
        </w:tc>
        <w:tc>
          <w:tcPr>
            <w:vAlign w:val="top"/>
          </w:tcPr>
          <w:p>
            <w:r>
              <w:t xml:space="preserve">Registration Statuses:</w:t>
            </w:r>
            <w:r>
              <w:br/>
            </w:r>
            <w:r>
              <w:t xml:space="preserve">Registration Statuses are now ordered in chronological order from oldest to newest on item view page.</w:t>
            </w:r>
          </w:p>
        </w:tc>
        <w:tc>
          <w:tcPr>
            <w:vAlign w:val="top"/>
          </w:tcPr>
          <w:p>
            <w:r>
              <w:t xml:space="preserve">23924</w:t>
            </w:r>
          </w:p>
        </w:tc>
      </w:tr>
      <w:tr>
        <w:trPr/>
        <w:tc>
          <w:tcPr>
            <w:tcW w:w="0"/>
            <w:vMerge/>
          </w:tcPr>
          <w:p/>
        </w:tc>
        <w:tc>
          <w:tcPr>
            <w:vAlign w:val="top"/>
          </w:tcPr>
          <w:p>
            <w:r>
              <w:t xml:space="preserve">Indicators:</w:t>
            </w:r>
            <w:r>
              <w:br/>
            </w:r>
            <w:r>
              <w:t xml:space="preserve">Links to Data Element in Indicators as Numerators, Denominators, or Disaggregation items are no longer missing the item ID.</w:t>
            </w:r>
          </w:p>
        </w:tc>
        <w:tc>
          <w:tcPr>
            <w:vAlign w:val="top"/>
          </w:tcPr>
          <w:p>
            <w:r>
              <w:t xml:space="preserve">23916</w:t>
            </w:r>
          </w:p>
        </w:tc>
      </w:tr>
      <w:tr>
        <w:trPr/>
        <w:tc>
          <w:tcPr>
            <w:tcW w:w="0"/>
            <w:vMerge/>
          </w:tcPr>
          <w:p/>
        </w:tc>
        <w:tc>
          <w:tcPr>
            <w:vAlign w:val="top"/>
          </w:tcPr>
          <w:p>
            <w:r>
              <w:t xml:space="preserve">View Authorisations:</w:t>
            </w:r>
            <w:r>
              <w:br/>
            </w:r>
            <w:r>
              <w:t xml:space="preserve">Registration Status column now only displays updated Registration Status on View Authorisations page.</w:t>
            </w:r>
          </w:p>
        </w:tc>
        <w:tc>
          <w:tcPr>
            <w:vAlign w:val="top"/>
          </w:tcPr>
          <w:p>
            <w:r>
              <w:t xml:space="preserve">23925</w:t>
            </w:r>
          </w:p>
        </w:tc>
      </w:tr>
      <w:tr>
        <w:trPr/>
        <w:tc>
          <w:tcPr>
            <w:gridSpan w:val="3"/>
            <w:vAlign w:val="top"/>
            <w:tcMar>
              <w:top w:w="160"/>
              <w:bottom w:w="100"/>
            </w:tcMar>
          </w:tcPr>
          <w:p>
            <w:pPr>
              <w:pStyle w:val="Heading4"/>
            </w:pPr>
            <w:r>
              <w:t xml:space="preserve">Downloads</w:t>
            </w:r>
          </w:p>
        </w:tc>
      </w:tr>
      <w:tr>
        <w:trPr/>
        <w:tc>
          <w:tcPr>
            <w:vMerge w:val="restart"/>
            <w:vAlign w:val="top"/>
          </w:tcPr>
          <w:p>
            <w:r>
              <w:t xml:space="preserve">Fixed</w:t>
            </w:r>
          </w:p>
        </w:tc>
        <w:tc>
          <w:tcPr>
            <w:vAlign w:val="top"/>
          </w:tcPr>
          <w:p>
            <w:r>
              <w:t xml:space="preserve">Advanced Downloads:</w:t>
            </w:r>
            <w:r>
              <w:br/>
            </w:r>
            <w:r>
              <w:t xml:space="preserve">Downloads for any metadata items no longer fail when item technical name begins with at least two digits immediately followed by a space.</w:t>
            </w:r>
          </w:p>
        </w:tc>
        <w:tc>
          <w:tcPr>
            <w:vAlign w:val="top"/>
          </w:tcPr>
          <w:p>
            <w:r>
              <w:t xml:space="preserve">23869</w:t>
            </w:r>
          </w:p>
        </w:tc>
      </w:tr>
      <w:tr>
        <w:trPr/>
        <w:tc>
          <w:tcPr>
            <w:tcW w:w="0"/>
            <w:vMerge/>
          </w:tcPr>
          <w:p/>
        </w:tc>
        <w:tc>
          <w:tcPr>
            <w:vAlign w:val="top"/>
          </w:tcPr>
          <w:p>
            <w:r>
              <w:t xml:space="preserve">Timestamps:</w:t>
            </w:r>
            <w:r>
              <w:br/>
            </w:r>
            <w:r>
              <w:t xml:space="preserve">Timestamps in Downloads are now presented in the local timezone instead of UTC timezone.</w:t>
            </w:r>
          </w:p>
        </w:tc>
        <w:tc>
          <w:tcPr>
            <w:vAlign w:val="top"/>
          </w:tcPr>
          <w:p>
            <w:r>
              <w:t xml:space="preserve">22601</w:t>
            </w:r>
          </w:p>
        </w:tc>
      </w:tr>
      <w:tr>
        <w:trPr/>
        <w:tc>
          <w:tcPr>
            <w:gridSpan w:val="3"/>
            <w:vAlign w:val="top"/>
            <w:tcMar>
              <w:top w:w="160"/>
              <w:bottom w:w="100"/>
            </w:tcMar>
          </w:tcPr>
          <w:p>
            <w:pPr>
              <w:pStyle w:val="Heading4"/>
            </w:pPr>
            <w:r>
              <w:t xml:space="preserve">Other</w:t>
            </w:r>
          </w:p>
        </w:tc>
      </w:tr>
      <w:tr>
        <w:trPr/>
        <w:tc>
          <w:tcPr>
            <w:vAlign w:val="top"/>
          </w:tcPr>
          <w:p>
            <w:r>
              <w:t xml:space="preserve">Fixed</w:t>
            </w:r>
          </w:p>
        </w:tc>
        <w:tc>
          <w:tcPr>
            <w:vAlign w:val="top"/>
          </w:tcPr>
          <w:p>
            <w:r>
              <w:t xml:space="preserve">Footer:</w:t>
            </w:r>
            <w:r>
              <w:br/>
            </w:r>
            <w:r>
              <w:t xml:space="preserve">'Australian Institute of Health and Welfare' typo in footer has now been fixed.</w:t>
            </w:r>
          </w:p>
        </w:tc>
        <w:tc>
          <w:tcPr>
            <w:vAlign w:val="top"/>
          </w:tcPr>
          <w:p>
            <w:r>
              <w:t xml:space="preserve">23282</w:t>
            </w:r>
          </w:p>
        </w:tc>
      </w:tr>
    </w:tbl>
    <w:p>
      <w:r>
        <w:br/>
      </w:r>
      <w:r>
        <w:br/>
      </w:r>
      <w:r>
        <w:br/>
      </w:r>
    </w:p>
    <w:sectPr>
      <w:footerReference xmlns:r="http://schemas.openxmlformats.org/officeDocument/2006/relationships" w:type="default" r:id="R747a28de2353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ec8304fbf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a28de23534f25" /><Relationship Type="http://schemas.openxmlformats.org/officeDocument/2006/relationships/header" Target="/word/header1.xml" Id="R2071f89ed84e45fe" /><Relationship Type="http://schemas.openxmlformats.org/officeDocument/2006/relationships/settings" Target="/word/settings.xml" Id="Re7d42670aa6449b2" /><Relationship Type="http://schemas.openxmlformats.org/officeDocument/2006/relationships/styles" Target="/word/styles.xml" Id="Rd186645bfb814a00" /><Relationship Type="http://schemas.openxmlformats.org/officeDocument/2006/relationships/numbering" Target="/word/numbering.xml" Id="R1f321543504b4945" /></Relationships>
</file>

<file path=word/_rels/header1.xml.rels>&#65279;<?xml version="1.0" encoding="utf-8"?><Relationships xmlns="http://schemas.openxmlformats.org/package/2006/relationships"><Relationship Type="http://schemas.openxmlformats.org/officeDocument/2006/relationships/image" Target="/media/image.png" Id="Rff7ec8304fbf4d5d" /></Relationships>
</file>