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efdc39dcaa4333"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bloodstream infection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bloodstream infection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7facd0be94a10">
              <w:r>
                <w:rPr>
                  <w:rStyle w:val="Hyperlink"/>
                  <w:color w:val="244061"/>
                </w:rPr>
                <w:t xml:space="preserve">Health</w:t>
              </w:r>
            </w:hyperlink>
            <w:r>
              <w:rPr>
                <w:rStyle w:val="row-content"/>
                <w:color w:val="244061"/>
              </w:rPr>
              <w:t xml:space="preserve">, Recorded 26/04/2024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best practice data set (NBPDS) is to support a comprehensive surveillance program of healthcare associated infections (HAI). HAIs are those infections that are not present or incubating at the time of admission to a healthcare program or facility, develop within a healthcare organisation or are produced by micro-organisms acquired during admission.</w:t>
            </w:r>
          </w:p>
          <w:p>
            <w:pPr>
              <w:spacing w:after="160"/>
            </w:pPr>
            <w:r>
              <w:rPr>
                <w:rStyle w:val="row-content-rich-text"/>
              </w:rPr>
              <w:t xml:space="preserve">This NBPDS is intended to support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044b037e3ca40b7">
              <w:r>
                <w:rPr>
                  <w:rStyle w:val="Hyperlink"/>
                  <w:b/>
                </w:rPr>
                <w:t xml:space="preserve">Staphylococcus aureus bloodstream infection (SABSI)</w:t>
              </w:r>
            </w:hyperlink>
            <w:r>
              <w:rPr>
                <w:rStyle w:val="row-content-rich-text"/>
              </w:rPr>
              <w:t xml:space="preserve"> surveillance in Australian hospitals. It is designed for the purposes of HAI surveillance, not diagnosis. The value of surveillance as part of a hospital infection control program is supported by high-grade international and national evidence.</w:t>
            </w:r>
          </w:p>
          <w:p>
            <w:pPr>
              <w:spacing w:after="160"/>
            </w:pPr>
            <w:r>
              <w:rPr>
                <w:rStyle w:val="row-content-rich-text"/>
              </w:rPr>
              <w:t xml:space="preserve">This NBPDS supports development of local forms and systems for surveillance of HAIs and associated data collection. This NBPDS applies to patient episodes of SABSI in Australian hospitals.</w:t>
            </w:r>
          </w:p>
          <w:p>
            <w:pPr>
              <w:spacing w:after="160"/>
            </w:pPr>
            <w:r>
              <w:rPr>
                <w:rStyle w:val="row-content-rich-text"/>
                <w:b/>
              </w:rPr>
              <w:t xml:space="preserve">Case Definition – Healthcare associated </w:t>
            </w:r>
            <w:r>
              <w:rPr>
                <w:rStyle w:val="row-content-rich-text"/>
                <w:b/>
                <w:i/>
              </w:rPr>
              <w:t xml:space="preserve">Staphylococcus aureus</w:t>
            </w:r>
            <w:r>
              <w:rPr>
                <w:rStyle w:val="row-content-rich-text"/>
                <w:b/>
              </w:rPr>
              <w:t xml:space="preserve"> bloodstream infection (SABSI)</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(SABSI) is a positive blood culture for </w:t>
            </w:r>
            <w:r>
              <w:rPr>
                <w:rStyle w:val="row-content-rich-text"/>
                <w:i/>
              </w:rPr>
              <w:t xml:space="preserve">Staphylococcus aureus</w:t>
            </w:r>
            <w:r>
              <w:rPr>
                <w:rStyle w:val="row-content-rich-text"/>
              </w:rPr>
              <w:t xml:space="preserve"> (S. aureus).</w:t>
            </w:r>
          </w:p>
          <w:p>
            <w:pPr>
              <w:spacing w:after="160"/>
            </w:pPr>
            <w:r>
              <w:rPr>
                <w:rStyle w:val="row-content-rich-text"/>
              </w:rPr>
              <w:t xml:space="preserve">For surveillance purposes, only the first isolate per patient is counted, unless at least 14 days has passed without a positive culture, after which a subsequent episode is recorded.</w:t>
            </w:r>
          </w:p>
          <w:p>
            <w:pPr>
              <w:spacing w:after="160"/>
            </w:pPr>
            <w:r>
              <w:rPr>
                <w:rStyle w:val="row-content-rich-text"/>
              </w:rPr>
              <w:t xml:space="preserve"> </w:t>
            </w:r>
          </w:p>
          <w:p>
            <w:pPr>
              <w:spacing w:after="160"/>
            </w:pPr>
            <w:r>
              <w:rPr>
                <w:rStyle w:val="row-content-rich-text"/>
                <w:b/>
              </w:rPr>
              <w:t xml:space="preserve">A SABSI is healthcare-associated if Criterion A1 or A2, or Criterion B1, B2, B3 or B4 are met. </w:t>
            </w:r>
          </w:p>
          <w:p>
            <w:pPr>
              <w:spacing w:after="160"/>
            </w:pPr>
            <w:r>
              <w:rPr>
                <w:rStyle w:val="row-content-rich-text"/>
              </w:rPr>
              <w:t xml:space="preserve"> </w:t>
            </w:r>
          </w:p>
          <w:p>
            <w:pPr>
              <w:spacing w:after="160"/>
            </w:pPr>
            <w:r>
              <w:rPr>
                <w:rStyle w:val="row-content-rich-text"/>
                <w:b/>
              </w:rPr>
              <w:t xml:space="preserve">CRITERION A: </w:t>
            </w:r>
            <w:r>
              <w:rPr>
                <w:rStyle w:val="row-content-rich-text"/>
              </w:rPr>
              <w:t xml:space="preserve">The patient’s first Staphylococcus aureus positive blood culture was collected:</w:t>
            </w:r>
          </w:p>
          <w:p>
            <w:pPr>
              <w:spacing w:after="160"/>
            </w:pPr>
            <w:r>
              <w:rPr>
                <w:rStyle w:val="row-content-rich-text"/>
              </w:rPr>
              <w:t xml:space="preserve">A1. &gt; 48 hours after admission, with no documented evidence that infection was present (including incubating) on admission</w:t>
            </w:r>
          </w:p>
          <w:p>
            <w:pPr>
              <w:spacing w:after="160"/>
            </w:pPr>
            <w:r>
              <w:rPr>
                <w:rStyle w:val="row-content-rich-text"/>
              </w:rPr>
              <w:t xml:space="preserve">OR</w:t>
            </w:r>
          </w:p>
          <w:p>
            <w:pPr>
              <w:spacing w:after="160"/>
            </w:pPr>
            <w:r>
              <w:rPr>
                <w:rStyle w:val="row-content-rich-text"/>
              </w:rPr>
              <w:t xml:space="preserve">A2. &lt; 48 hours after discharge.</w:t>
            </w:r>
          </w:p>
          <w:p>
            <w:pPr>
              <w:spacing w:after="160"/>
            </w:pPr>
            <w:r>
              <w:rPr>
                <w:rStyle w:val="row-content-rich-text"/>
              </w:rPr>
              <w:t xml:space="preserve"> </w:t>
            </w:r>
          </w:p>
          <w:p>
            <w:pPr>
              <w:spacing w:after="160"/>
            </w:pPr>
            <w:r>
              <w:rPr>
                <w:rStyle w:val="row-content-rich-text"/>
                <w:b/>
              </w:rPr>
              <w:t xml:space="preserve">OR</w:t>
            </w:r>
          </w:p>
          <w:p>
            <w:pPr>
              <w:spacing w:after="160"/>
            </w:pPr>
            <w:r>
              <w:rPr>
                <w:rStyle w:val="row-content-rich-text"/>
              </w:rPr>
              <w:t xml:space="preserve"> </w:t>
            </w:r>
          </w:p>
          <w:p>
            <w:pPr>
              <w:spacing w:after="160"/>
            </w:pPr>
            <w:r>
              <w:rPr>
                <w:rStyle w:val="row-content-rich-text"/>
                <w:b/>
              </w:rPr>
              <w:t xml:space="preserve">CRITERION B:</w:t>
            </w:r>
            <w:r>
              <w:rPr>
                <w:rStyle w:val="row-content-rich-text"/>
              </w:rPr>
              <w:t xml:space="preserve"> The patient’s first positive Staphylococcus aureus blood culture was collected ≤ 48 hours after admission and one or more of the following key clinical criteria is met:</w:t>
            </w:r>
          </w:p>
          <w:p>
            <w:pPr>
              <w:spacing w:after="160"/>
            </w:pPr>
            <w:r>
              <w:rPr>
                <w:rStyle w:val="row-content-rich-text"/>
              </w:rPr>
              <w:t xml:space="preserve">B1. SABSI is a complication of the presence of an indwelling medical device</w:t>
            </w:r>
          </w:p>
          <w:p>
            <w:pPr>
              <w:spacing w:after="160"/>
            </w:pPr>
            <w:r>
              <w:rPr>
                <w:rStyle w:val="row-content-rich-text"/>
              </w:rPr>
              <w:t xml:space="preserve">B2. SABSI occurs within 30 days of a surgical procedure where the SABSI is related to the surgical site, or 90 days for deep incisional/organ space infections related to a surgically implanted device</w:t>
            </w:r>
          </w:p>
          <w:p>
            <w:pPr>
              <w:spacing w:after="160"/>
            </w:pPr>
            <w:r>
              <w:rPr>
                <w:rStyle w:val="row-content-rich-text"/>
              </w:rPr>
              <w:t xml:space="preserve">B3. SABSI was diagnosed within 48 hours of a related invasive instrumentation or incision</w:t>
            </w:r>
          </w:p>
          <w:p>
            <w:pPr>
              <w:spacing w:after="160"/>
            </w:pPr>
            <w:r>
              <w:rPr>
                <w:rStyle w:val="row-content-rich-text"/>
              </w:rPr>
              <w:t xml:space="preserve">B4. SABSI is associated with neutropenia* contributed to by cytotoxic therapy and is unrelated to the presence of an indwelling medical device.</w:t>
            </w:r>
          </w:p>
          <w:p>
            <w:pPr>
              <w:spacing w:after="160"/>
            </w:pPr>
            <w:r>
              <w:rPr>
                <w:rStyle w:val="row-content-rich-text"/>
              </w:rPr>
              <w:t xml:space="preserve"> </w:t>
            </w:r>
          </w:p>
          <w:p>
            <w:pPr>
              <w:spacing w:after="160"/>
            </w:pPr>
            <w:r>
              <w:rPr>
                <w:rStyle w:val="row-content-rich-text"/>
              </w:rPr>
              <w:t xml:space="preserve">If neither Criterion A1 or A2, nor Criterion B1, B2, B3 or B4 are met, then the SABSI is considered to be community-acquired for the purposes of surveillance.</w:t>
            </w:r>
          </w:p>
          <w:p>
            <w:pPr>
              <w:spacing w:after="160"/>
            </w:pPr>
            <w:r>
              <w:rPr>
                <w:rStyle w:val="row-content-rich-text"/>
              </w:rPr>
              <w:t xml:space="preserve"> </w:t>
            </w:r>
          </w:p>
          <w:p>
            <w:pPr/>
            <w:r>
              <w:rPr>
                <w:rStyle w:val="row-content-rich-text"/>
              </w:rPr>
              <w:t xml:space="preserve">*Neutropenia is defined as at least two separate calendar days with values of absolute neutrophil count (ANC) or total white blood cells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three calendar days before and the three calendar days after.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infection [</w:t>
            </w:r>
            <w:r>
              <w:rPr>
                <w:rStyle w:val="row-content-rich-text"/>
                <w:i/>
              </w:rPr>
              <w:t xml:space="preserve">Staphylococcus aureus</w:t>
            </w:r>
            <w:r>
              <w:rPr>
                <w:rStyle w:val="row-content-rich-text"/>
              </w:rPr>
              <w:t xml:space="preserve"> bloodstream infection (SABSI)]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Surveillance data should be used to identify local problem areas and implement appropriate policy and clinical interventions to improve the quality of care, not for external benchmarking. Effective surveillance systems provide the impetus for change and make it possible to evaluate the effectiveness of interventions. An effective surveillance system is one that provides timely and reliable information to hospital managers and clinicians to effectively manage HAI.</w:t>
            </w:r>
          </w:p>
          <w:p>
            <w:pPr>
              <w:spacing w:after="160"/>
            </w:pPr>
            <w:r>
              <w:rPr>
                <w:rStyle w:val="row-content-rich-text"/>
              </w:rPr>
              <w:t xml:space="preserve">This NBPDS collects data at 2 levels:</w:t>
            </w:r>
          </w:p>
          <w:p>
            <w:pPr>
              <w:pStyle w:val="ListParagraph"/>
              <w:numPr>
                <w:ilvl w:val="0"/>
                <w:numId w:val="2"/>
              </w:numPr>
            </w:pPr>
            <w:r>
              <w:rPr>
                <w:rStyle w:val="row-content-rich-text"/>
              </w:rPr>
              <w:t xml:space="preserve">At the individual level, with data elements to be collected for each patient episode;</w:t>
            </w:r>
          </w:p>
          <w:p>
            <w:pPr>
              <w:pStyle w:val="ListParagraph"/>
              <w:numPr>
                <w:ilvl w:val="0"/>
                <w:numId w:val="2"/>
              </w:numPr>
            </w:pPr>
            <w:r>
              <w:rPr>
                <w:rStyle w:val="row-content-rich-text"/>
              </w:rPr>
              <w:t xml:space="preserve">At the aggregate level, with data elements used for calculation of SABSI rates.</w:t>
            </w:r>
          </w:p>
          <w:p>
            <w:pPr>
              <w:spacing w:after="160"/>
            </w:pPr>
            <w:r>
              <w:rPr>
                <w:rStyle w:val="row-content-rich-text"/>
              </w:rPr>
              <w:t xml:space="preserve">The data elements to be collected at each level are specified in the table below:</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Data elements to be collected for each patient episode</w:t>
                  </w:r>
                </w:p>
              </w:tc>
              <w:tc>
                <w:tcPr>
                  <w:tcW w:w="1000" w:type="pct"/>
                  <w:vAlign w:val="top"/>
                </w:tcPr>
                <w:p>
                  <w:r>
                    <w:rPr>
                      <w:b/>
                    </w:rPr>
                    <w:t xml:space="preserve">Data elements used for calculation of SABSI rates</w:t>
                  </w:r>
                </w:p>
              </w:tc>
            </w:tr>
            <w:tr>
              <w:trPr/>
              <w:tc>
                <w:tcPr>
                  <w:tcW w:w="4000" w:type="pct"/>
                  <w:vAlign w:val="top"/>
                </w:tcPr>
                <w:p>
                  <w:r>
                    <w:t xml:space="preserve">Person identifier</w:t>
                  </w:r>
                </w:p>
              </w:tc>
              <w:tc>
                <w:tcPr>
                  <w:tcW w:w="1000" w:type="pct"/>
                  <w:vAlign w:val="top"/>
                </w:tcPr>
                <w:p>
                  <w:r>
                    <w:t xml:space="preserve">Patient days</w:t>
                  </w:r>
                </w:p>
              </w:tc>
            </w:tr>
            <w:tr>
              <w:trPr/>
              <w:tc>
                <w:tcPr>
                  <w:tcW w:w="4000" w:type="pct"/>
                  <w:vAlign w:val="top"/>
                </w:tcPr>
                <w:p>
                  <w:r>
                    <w:t xml:space="preserve">Family name</w:t>
                  </w:r>
                </w:p>
              </w:tc>
              <w:tc>
                <w:tcPr>
                  <w:tcW w:w="1000" w:type="pct"/>
                  <w:vAlign w:val="top"/>
                </w:tcPr>
                <w:p>
                  <w:r>
                    <w:t xml:space="preserve">Patient episodes of healthcare associated SABSI</w:t>
                  </w:r>
                </w:p>
              </w:tc>
            </w:tr>
            <w:tr>
              <w:trPr/>
              <w:tc>
                <w:tcPr>
                  <w:tcW w:w="4000" w:type="pct"/>
                  <w:vAlign w:val="top"/>
                </w:tcPr>
                <w:p>
                  <w:r>
                    <w:t xml:space="preserve">Given name(s)</w:t>
                  </w:r>
                </w:p>
              </w:tc>
              <w:tc>
                <w:tcPr>
                  <w:tcW w:w="1000" w:type="pct"/>
                  <w:vAlign w:val="top"/>
                </w:tcPr>
                <w:p>
                  <w:r>
                    <w:t xml:space="preserve"> </w:t>
                  </w:r>
                </w:p>
              </w:tc>
            </w:tr>
            <w:tr>
              <w:trPr/>
              <w:tc>
                <w:tcPr>
                  <w:tcW w:w="4000" w:type="pct"/>
                  <w:vAlign w:val="top"/>
                </w:tcPr>
                <w:p>
                  <w:r>
                    <w:t xml:space="preserve">Indigenous status</w:t>
                  </w:r>
                </w:p>
              </w:tc>
              <w:tc>
                <w:tcPr>
                  <w:tcW w:w="1000" w:type="pct"/>
                  <w:vAlign w:val="top"/>
                </w:tcPr>
                <w:p>
                  <w:r>
                    <w:t xml:space="preserve"> </w:t>
                  </w:r>
                </w:p>
              </w:tc>
            </w:tr>
            <w:tr>
              <w:trPr/>
              <w:tc>
                <w:tcPr>
                  <w:tcW w:w="4000" w:type="pct"/>
                  <w:vAlign w:val="top"/>
                </w:tcPr>
                <w:p>
                  <w:r>
                    <w:t xml:space="preserve">Date of birth</w:t>
                  </w:r>
                </w:p>
              </w:tc>
              <w:tc>
                <w:tcPr>
                  <w:tcW w:w="1000" w:type="pct"/>
                  <w:vAlign w:val="top"/>
                </w:tcPr>
                <w:p>
                  <w:r>
                    <w:t xml:space="preserve"> </w:t>
                  </w:r>
                </w:p>
              </w:tc>
            </w:tr>
            <w:tr>
              <w:trPr/>
              <w:tc>
                <w:tcPr>
                  <w:tcW w:w="4000" w:type="pct"/>
                  <w:vAlign w:val="top"/>
                </w:tcPr>
                <w:p>
                  <w:r>
                    <w:t xml:space="preserve">Sex</w:t>
                  </w:r>
                </w:p>
              </w:tc>
              <w:tc>
                <w:tcPr>
                  <w:tcW w:w="1000" w:type="pct"/>
                  <w:vAlign w:val="top"/>
                </w:tcPr>
                <w:p>
                  <w:r>
                    <w:t xml:space="preserve"> </w:t>
                  </w:r>
                </w:p>
              </w:tc>
            </w:tr>
            <w:tr>
              <w:trPr/>
              <w:tc>
                <w:tcPr>
                  <w:tcW w:w="4000" w:type="pct"/>
                  <w:vAlign w:val="top"/>
                </w:tcPr>
                <w:p>
                  <w:r>
                    <w:t xml:space="preserve">Gender</w:t>
                  </w:r>
                </w:p>
              </w:tc>
              <w:tc>
                <w:tcPr>
                  <w:tcW w:w="1000" w:type="pct"/>
                  <w:vAlign w:val="top"/>
                </w:tcPr>
                <w:p>
                  <w:r>
                    <w:t xml:space="preserve"> </w:t>
                  </w:r>
                </w:p>
              </w:tc>
            </w:tr>
            <w:tr>
              <w:trPr/>
              <w:tc>
                <w:tcPr>
                  <w:tcW w:w="4000" w:type="pct"/>
                  <w:vAlign w:val="top"/>
                </w:tcPr>
                <w:p>
                  <w:r>
                    <w:t xml:space="preserve">Address line (person)</w:t>
                  </w:r>
                </w:p>
              </w:tc>
              <w:tc>
                <w:tcPr>
                  <w:tcW w:w="1000" w:type="pct"/>
                  <w:vAlign w:val="top"/>
                </w:tcPr>
                <w:p>
                  <w:r>
                    <w:t xml:space="preserve"> </w:t>
                  </w:r>
                </w:p>
              </w:tc>
            </w:tr>
            <w:tr>
              <w:trPr/>
              <w:tc>
                <w:tcPr>
                  <w:tcW w:w="4000" w:type="pct"/>
                  <w:vAlign w:val="top"/>
                </w:tcPr>
                <w:p>
                  <w:r>
                    <w:t xml:space="preserve">Suburb/town/locality name (person)</w:t>
                  </w:r>
                </w:p>
              </w:tc>
              <w:tc>
                <w:tcPr>
                  <w:tcW w:w="1000" w:type="pct"/>
                  <w:vAlign w:val="top"/>
                </w:tcPr>
                <w:p>
                  <w:r>
                    <w:t xml:space="preserve"> </w:t>
                  </w:r>
                </w:p>
              </w:tc>
            </w:tr>
            <w:tr>
              <w:trPr/>
              <w:tc>
                <w:tcPr>
                  <w:tcW w:w="4000" w:type="pct"/>
                  <w:vAlign w:val="top"/>
                </w:tcPr>
                <w:p>
                  <w:r>
                    <w:t xml:space="preserve">Australian state/territory identifier</w:t>
                  </w:r>
                </w:p>
              </w:tc>
              <w:tc>
                <w:tcPr>
                  <w:tcW w:w="1000" w:type="pct"/>
                  <w:vAlign w:val="top"/>
                </w:tcPr>
                <w:p>
                  <w:r>
                    <w:t xml:space="preserve"> </w:t>
                  </w:r>
                </w:p>
              </w:tc>
            </w:tr>
            <w:tr>
              <w:trPr/>
              <w:tc>
                <w:tcPr>
                  <w:tcW w:w="4000" w:type="pct"/>
                  <w:vAlign w:val="top"/>
                </w:tcPr>
                <w:p>
                  <w:r>
                    <w:t xml:space="preserve">Australian postcode (address)</w:t>
                  </w:r>
                </w:p>
              </w:tc>
              <w:tc>
                <w:tcPr>
                  <w:tcW w:w="1000" w:type="pct"/>
                  <w:vAlign w:val="top"/>
                </w:tcPr>
                <w:p>
                  <w:r>
                    <w:t xml:space="preserve"> </w:t>
                  </w:r>
                </w:p>
              </w:tc>
            </w:tr>
            <w:tr>
              <w:trPr/>
              <w:tc>
                <w:tcPr>
                  <w:tcW w:w="4000" w:type="pct"/>
                  <w:vAlign w:val="top"/>
                </w:tcPr>
                <w:p>
                  <w:r>
                    <w:t xml:space="preserve">Admission date</w:t>
                  </w:r>
                </w:p>
              </w:tc>
              <w:tc>
                <w:tcPr>
                  <w:tcW w:w="1000" w:type="pct"/>
                  <w:vAlign w:val="top"/>
                </w:tcPr>
                <w:p>
                  <w:r>
                    <w:t xml:space="preserve"> </w:t>
                  </w:r>
                </w:p>
              </w:tc>
            </w:tr>
            <w:tr>
              <w:trPr/>
              <w:tc>
                <w:tcPr>
                  <w:tcW w:w="4000" w:type="pct"/>
                  <w:vAlign w:val="top"/>
                </w:tcPr>
                <w:p>
                  <w:r>
                    <w:t xml:space="preserve">Separation date</w:t>
                  </w:r>
                </w:p>
              </w:tc>
              <w:tc>
                <w:tcPr>
                  <w:tcW w:w="1000" w:type="pct"/>
                  <w:vAlign w:val="top"/>
                </w:tcPr>
                <w:p>
                  <w:r>
                    <w:t xml:space="preserve"> </w:t>
                  </w:r>
                </w:p>
              </w:tc>
            </w:tr>
            <w:tr>
              <w:trPr/>
              <w:tc>
                <w:tcPr>
                  <w:tcW w:w="4000" w:type="pct"/>
                  <w:vAlign w:val="top"/>
                </w:tcPr>
                <w:p>
                  <w:r>
                    <w:t xml:space="preserve">Ward/clinical area</w:t>
                  </w:r>
                </w:p>
              </w:tc>
              <w:tc>
                <w:tcPr>
                  <w:tcW w:w="1000" w:type="pct"/>
                  <w:vAlign w:val="top"/>
                </w:tcPr>
                <w:p>
                  <w:r>
                    <w:t xml:space="preserve"> </w:t>
                  </w:r>
                </w:p>
              </w:tc>
            </w:tr>
            <w:tr>
              <w:trPr/>
              <w:tc>
                <w:tcPr>
                  <w:tcW w:w="4000" w:type="pct"/>
                  <w:vAlign w:val="top"/>
                </w:tcPr>
                <w:p>
                  <w:r>
                    <w:t xml:space="preserve">Specimen collection date</w:t>
                  </w:r>
                </w:p>
              </w:tc>
              <w:tc>
                <w:tcPr>
                  <w:tcW w:w="1000" w:type="pct"/>
                  <w:vAlign w:val="top"/>
                </w:tcPr>
                <w:p>
                  <w:r>
                    <w:t xml:space="preserve"> </w:t>
                  </w:r>
                </w:p>
              </w:tc>
            </w:tr>
            <w:tr>
              <w:trPr/>
              <w:tc>
                <w:tcPr>
                  <w:tcW w:w="4000" w:type="pct"/>
                  <w:vAlign w:val="top"/>
                </w:tcPr>
                <w:p>
                  <w:r>
                    <w:t xml:space="preserve">Specimen collection time</w:t>
                  </w:r>
                </w:p>
              </w:tc>
              <w:tc>
                <w:tcPr>
                  <w:tcW w:w="1000" w:type="pct"/>
                  <w:vAlign w:val="top"/>
                </w:tcPr>
                <w:p>
                  <w:r>
                    <w:t xml:space="preserve"> </w:t>
                  </w:r>
                </w:p>
              </w:tc>
            </w:tr>
            <w:tr>
              <w:trPr/>
              <w:tc>
                <w:tcPr>
                  <w:tcW w:w="4000" w:type="pct"/>
                  <w:vAlign w:val="top"/>
                </w:tcPr>
                <w:p>
                  <w:r>
                    <w:t xml:space="preserve">Laboratory number</w:t>
                  </w:r>
                </w:p>
              </w:tc>
              <w:tc>
                <w:tcPr>
                  <w:tcW w:w="1000" w:type="pct"/>
                  <w:vAlign w:val="top"/>
                </w:tcPr>
                <w:p>
                  <w:r>
                    <w:t xml:space="preserve"> </w:t>
                  </w:r>
                </w:p>
              </w:tc>
            </w:tr>
            <w:tr>
              <w:trPr/>
              <w:tc>
                <w:tcPr>
                  <w:tcW w:w="4000" w:type="pct"/>
                  <w:vAlign w:val="top"/>
                </w:tcPr>
                <w:p>
                  <w:r>
                    <w:t xml:space="preserve">Specimen identifier</w:t>
                  </w:r>
                </w:p>
              </w:tc>
              <w:tc>
                <w:tcPr>
                  <w:tcW w:w="1000" w:type="pct"/>
                  <w:vAlign w:val="top"/>
                </w:tcPr>
                <w:p>
                  <w:r>
                    <w:t xml:space="preserve"> </w:t>
                  </w:r>
                </w:p>
              </w:tc>
            </w:tr>
            <w:tr>
              <w:trPr/>
              <w:tc>
                <w:tcPr>
                  <w:tcW w:w="4000" w:type="pct"/>
                  <w:vAlign w:val="top"/>
                </w:tcPr>
                <w:p>
                  <w:r>
                    <w:t xml:space="preserve">Laboratory result identifier</w:t>
                  </w:r>
                </w:p>
              </w:tc>
              <w:tc>
                <w:tcPr>
                  <w:tcW w:w="1000" w:type="pct"/>
                  <w:vAlign w:val="top"/>
                </w:tcPr>
                <w:p>
                  <w:r>
                    <w:t xml:space="preserve"> </w:t>
                  </w:r>
                </w:p>
              </w:tc>
            </w:tr>
            <w:tr>
              <w:trPr/>
              <w:tc>
                <w:tcPr>
                  <w:tcW w:w="4000" w:type="pct"/>
                  <w:vAlign w:val="top"/>
                </w:tcPr>
                <w:p>
                  <w:r>
                    <w:t xml:space="preserve">Healthcare associated SABSI clinical criteria</w:t>
                  </w:r>
                </w:p>
              </w:tc>
              <w:tc>
                <w:tcPr>
                  <w:tcW w:w="1000" w:type="pct"/>
                  <w:vAlign w:val="top"/>
                </w:tcPr>
                <w:p>
                  <w:r>
                    <w:t xml:space="preserve"> </w:t>
                  </w:r>
                </w:p>
              </w:tc>
            </w:tr>
            <w:tr>
              <w:trPr/>
              <w:tc>
                <w:tcPr>
                  <w:tcW w:w="4000" w:type="pct"/>
                  <w:vAlign w:val="top"/>
                </w:tcPr>
                <w:p>
                  <w:r>
                    <w:t xml:space="preserve">Staphylococcus aureus bloodstream infection status</w:t>
                  </w:r>
                </w:p>
              </w:tc>
              <w:tc>
                <w:tcPr>
                  <w:tcW w:w="1000" w:type="pct"/>
                  <w:vAlign w:val="top"/>
                </w:tcPr>
                <w:p>
                  <w:r>
                    <w:t xml:space="preserve"> </w:t>
                  </w:r>
                </w:p>
              </w:tc>
            </w:tr>
            <w:tr>
              <w:trPr/>
              <w:tc>
                <w:tcPr>
                  <w:tcW w:w="4000" w:type="pct"/>
                  <w:vAlign w:val="top"/>
                </w:tcPr>
                <w:p>
                  <w:r>
                    <w:t xml:space="preserve">SABSI methicillin susceptibility</w:t>
                  </w:r>
                </w:p>
              </w:tc>
              <w:tc>
                <w:tcPr>
                  <w:tcW w:w="1000" w:type="pct"/>
                  <w:vAlign w:val="top"/>
                </w:tcPr>
                <w:p>
                  <w:r>
                    <w:t xml:space="preserve"> </w:t>
                  </w:r>
                </w:p>
              </w:tc>
            </w:tr>
            <w:tr>
              <w:trPr/>
              <w:tc>
                <w:tcPr>
                  <w:tcW w:w="4000" w:type="pct"/>
                  <w:vAlign w:val="top"/>
                </w:tcPr>
                <w:p>
                  <w:r>
                    <w:t xml:space="preserve">Antibiotic susceptibility (MRSA isolate)</w:t>
                  </w:r>
                </w:p>
              </w:tc>
              <w:tc>
                <w:tcPr>
                  <w:tcW w:w="1000" w:type="pct"/>
                  <w:vAlign w:val="top"/>
                </w:tcPr>
                <w:p>
                  <w:r>
                    <w:t xml:space="preserve"> </w:t>
                  </w:r>
                </w:p>
              </w:tc>
            </w:tr>
            <w:tr>
              <w:trPr/>
              <w:tc>
                <w:tcPr>
                  <w:tcW w:w="4000" w:type="pct"/>
                  <w:vAlign w:val="top"/>
                </w:tcPr>
                <w:p>
                  <w:r>
                    <w:t xml:space="preserve">Antibiotic susceptibility indicator (MRSA isolate)</w:t>
                  </w:r>
                </w:p>
              </w:tc>
              <w:tc>
                <w:tcPr>
                  <w:tcW w:w="1000" w:type="pct"/>
                  <w:vAlign w:val="top"/>
                </w:tcPr>
                <w:p>
                  <w:r>
                    <w:t xml:space="preserve"> </w:t>
                  </w:r>
                </w:p>
              </w:tc>
            </w:tr>
            <w:tr>
              <w:trPr/>
              <w:tc>
                <w:tcPr>
                  <w:tcW w:w="4000" w:type="pct"/>
                  <w:vAlign w:val="top"/>
                </w:tcPr>
                <w:p>
                  <w:r>
                    <w:t xml:space="preserve">Establishment number</w:t>
                  </w:r>
                </w:p>
              </w:tc>
              <w:tc>
                <w:tcPr>
                  <w:tcW w:w="100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is an important tool to reduce HAI. The purpose of collecting, analysing, and then acting on reliable surveillance data is to improve quality and patient safety within a service or facility or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Advisory Committee's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e5cbd9745930460e">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6add51240b47e0">
              <w:r>
                <w:rPr>
                  <w:rStyle w:val="Hyperlink"/>
                </w:rPr>
                <w:t xml:space="preserve">Surveillance of healthcare associated infection: Staphylococcus aureus bloodstream infection NBPDS</w:t>
              </w:r>
            </w:hyperlink>
          </w:p>
          <w:p>
            <w:pPr>
              <w:pStyle w:val="registration-status"/>
              <w:spacing w:before="0" w:after="0"/>
            </w:pPr>
            <w:hyperlink w:history="true" r:id="R97bedcf08b3940e0">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712aee814bb844d8">
              <w:r>
                <w:rPr>
                  <w:rStyle w:val="Hyperlink"/>
                </w:rPr>
                <w:t xml:space="preserve">Healthcare-associated infections NBEDS 2025–</w:t>
              </w:r>
            </w:hyperlink>
          </w:p>
          <w:p>
            <w:pPr>
              <w:pStyle w:val="registration-status"/>
              <w:spacing w:before="0" w:after="0"/>
            </w:pPr>
            <w:hyperlink w:history="true" r:id="R9e59d4fa68fd441a">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1ca44276ce54e4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f1e2a5843e146b6">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a7d454d4cb14c32">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534558702ef465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e6da96a60d0417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9c3d2e19afb42a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3ce33db9ce34382">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c46d5f88a924c8c">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d5c506d8784412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15eec8a521d4d35">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70b5cd1d5cc443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b1b6e82c97149b6">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9dc5717ca344281">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0b7c16b93924821">
                    <w:r>
                      <w:rPr>
                        <w:rStyle w:val="Hyperlink"/>
                      </w:rPr>
                      <w:t xml:space="preserve">Establishment—ward/clinical area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6ffc52c1e91443d">
                    <w:r>
                      <w:rPr>
                        <w:rStyle w:val="Hyperlink"/>
                      </w:rPr>
                      <w:t xml:space="preserve">Person—specimen collection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835813da64b4525">
                    <w:r>
                      <w:rPr>
                        <w:rStyle w:val="Hyperlink"/>
                      </w:rPr>
                      <w:t xml:space="preserve">Person—specimen collection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a6d7bbbc8224e8a">
                    <w:r>
                      <w:rPr>
                        <w:rStyle w:val="Hyperlink"/>
                      </w:rPr>
                      <w:t xml:space="preserve">Laboratory—organisation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f85be239cce4137">
                    <w:r>
                      <w:rPr>
                        <w:rStyle w:val="Hyperlink"/>
                      </w:rPr>
                      <w:t xml:space="preserve">Laboratory—specimen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80538b6bbe042ee">
                    <w:r>
                      <w:rPr>
                        <w:rStyle w:val="Hyperlink"/>
                      </w:rPr>
                      <w:t xml:space="preserve">Laboratory—result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3a15b5cd28340c0">
                    <w:r>
                      <w:rPr>
                        <w:rStyle w:val="Hyperlink"/>
                      </w:rPr>
                      <w:t xml:space="preserve">Patient episode of Staphylococcus aureus bloodstream infection—most probable origin, healthcare associated clinical criteria code N</w:t>
                    </w:r>
                  </w:hyperlink>
                </w:p>
                <w:p>
                  <w:r>
                    <w:rPr>
                      <w:b/>
                      <w:i/>
                      <w:color w:val="333333"/>
                    </w:rPr>
                    <w:t xml:space="preserve">Conditional obligation:</w:t>
                  </w:r>
                </w:p>
                <w:p>
                  <w:r>
                    <w:t xml:space="preserve">Conditional on there being at least one patient episode reported for </w:t>
                  </w:r>
                  <w:hyperlink w:history="true" r:id="R845f50a9bcf04ab2">
                    <w:r>
                      <w:rPr>
                        <w:rStyle w:val="Hyperlink"/>
                      </w:rPr>
                      <w:t xml:space="preserve">Establishment—number of patient episodes of healthcare 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0f0690f08ef422e">
                    <w:r>
                      <w:rPr>
                        <w:rStyle w:val="Hyperlink"/>
                      </w:rPr>
                      <w:t xml:space="preserve">Patient episode of Staphylococcus aureus bloodstream infection—infection setting, origin code N</w:t>
                    </w:r>
                  </w:hyperlink>
                </w:p>
                <w:p>
                  <w:r>
                    <w:rPr>
                      <w:b/>
                      <w:i/>
                      <w:color w:val="333333"/>
                    </w:rPr>
                    <w:t xml:space="preserve">Conditional obligation:</w:t>
                  </w:r>
                </w:p>
                <w:p>
                  <w:r>
                    <w:t xml:space="preserve">Conditional on there being at least one patient episode reported for </w:t>
                  </w:r>
                  <w:hyperlink w:history="true" r:id="Rba49c06f0b134f48">
                    <w:r>
                      <w:rPr>
                        <w:rStyle w:val="Hyperlink"/>
                      </w:rPr>
                      <w:t xml:space="preserve">Patient episode of Staphylococcus aureus bloodstream infection—most probable origin, clinical criteria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bb310f0410d457b">
                    <w:r>
                      <w:rPr>
                        <w:rStyle w:val="Hyperlink"/>
                      </w:rPr>
                      <w:t xml:space="preserve">Patient episode of Staphylococcus aureus bloodstream infection—Staphylococcus aureus methicillin susceptibility indicator, yes/no code N</w:t>
                    </w:r>
                  </w:hyperlink>
                </w:p>
                <w:p>
                  <w:r>
                    <w:rPr>
                      <w:b/>
                      <w:i/>
                      <w:color w:val="333333"/>
                    </w:rPr>
                    <w:t xml:space="preserve">Conditional obligation:</w:t>
                  </w:r>
                </w:p>
                <w:p>
                  <w:r>
                    <w:t xml:space="preserve">Conditional on there being at least one patient episode reported for </w:t>
                  </w:r>
                  <w:hyperlink w:history="true" r:id="R7c53a3c827044f03">
                    <w:r>
                      <w:rPr>
                        <w:rStyle w:val="Hyperlink"/>
                      </w:rPr>
                      <w:t xml:space="preserve">Establishment—number of patient episodes of healthcare 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fd87e67afe4465f">
                    <w:r>
                      <w:rPr>
                        <w:rStyle w:val="Hyperlink"/>
                      </w:rPr>
                      <w:t xml:space="preserve">Methicillin-resistant Staphylococcus aureus isolate—antibiotic susceptibility indicator, yes/no code N</w:t>
                    </w:r>
                  </w:hyperlink>
                </w:p>
                <w:p>
                  <w:r>
                    <w:rPr>
                      <w:b/>
                      <w:i/>
                      <w:color w:val="333333"/>
                    </w:rPr>
                    <w:t xml:space="preserve">Conditional obligation:</w:t>
                  </w:r>
                </w:p>
                <w:p>
                  <w:r>
                    <w:t xml:space="preserve">Required where </w:t>
                  </w:r>
                  <w:hyperlink w:history="true" r:id="R71aa3ecb182a483e">
                    <w:r>
                      <w:rPr>
                        <w:rStyle w:val="Hyperlink"/>
                      </w:rPr>
                      <w:t xml:space="preserve">Patient episode of Staphylococcus aureus bloodstream infection—Staphylococcus aureus methicillin susceptibility indicator, yes/no code N</w:t>
                    </w:r>
                  </w:hyperlink>
                  <w:r>
                    <w:t xml:space="preserve"> is reported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9a3cb44ba6e417d">
                    <w:r>
                      <w:rPr>
                        <w:rStyle w:val="Hyperlink"/>
                      </w:rPr>
                      <w:t xml:space="preserve">Methicillin-resistant Staphylococcus aureus isolate—antibiotic susceptibility, text X[X(39)]</w:t>
                    </w:r>
                  </w:hyperlink>
                </w:p>
                <w:p>
                  <w:r>
                    <w:rPr>
                      <w:b/>
                      <w:i/>
                      <w:color w:val="333333"/>
                    </w:rPr>
                    <w:t xml:space="preserve">Conditional obligation:</w:t>
                  </w:r>
                </w:p>
                <w:p>
                  <w:r>
                    <w:t xml:space="preserve">Required where </w:t>
                  </w:r>
                  <w:hyperlink w:history="true" r:id="R918a7d0928194929">
                    <w:r>
                      <w:rPr>
                        <w:rStyle w:val="Hyperlink"/>
                      </w:rPr>
                      <w:t xml:space="preserve">Methicillin-resistant Staphylococcus aureus isolate—antibiotic susceptibility indicator, yes/no code N</w:t>
                    </w:r>
                  </w:hyperlink>
                  <w:r>
                    <w:t xml:space="preserve"> is reported as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b52780c609c4d63">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fed878219d2e4e34">
                    <w:r>
                      <w:rPr>
                        <w:rStyle w:val="Hyperlink"/>
                      </w:rPr>
                      <w:t xml:space="preserve">Establishment—number of patient episodes of healthcare-associated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2da09361daa4e82">
                    <w:r>
                      <w:rPr>
                        <w:rStyle w:val="Hyperlink"/>
                      </w:rPr>
                      <w:t xml:space="preserve">Establishment—organisation identifier (state/territory), NNNNN</w:t>
                    </w:r>
                  </w:hyperlink>
                </w:p>
                <w:p>
                  <w:r>
                    <w:rPr>
                      <w:b/>
                      <w:i/>
                      <w:color w:val="333333"/>
                    </w:rPr>
                    <w:t xml:space="preserve">Conditional obligation:</w:t>
                  </w:r>
                </w:p>
                <w:p>
                  <w:r>
                    <w:t xml:space="preserve">This data element is reported conditionally with the element </w:t>
                  </w:r>
                  <w:hyperlink w:history="true" r:id="R7953fb44be564ba3">
                    <w:r>
                      <w:rPr>
                        <w:rStyle w:val="Hyperlink"/>
                      </w:rPr>
                      <w:t xml:space="preserve">Establishment—organisation identifier (state/territory), NNNNN[NNNN][NNNN].</w:t>
                    </w:r>
                  </w:hyperlink>
                </w:p>
                <w:p>
                  <w:hyperlink w:history="true" r:id="R5e561ac8d7b64c4b">
                    <w:r>
                      <w:rPr>
                        <w:rStyle w:val="Hyperlink"/>
                      </w:rPr>
                      <w:t xml:space="preserve">Establishment—organisation identifier (state/territory), NNNNN</w:t>
                    </w:r>
                  </w:hyperlink>
                  <w:r>
                    <w:t xml:space="preserve"> is to be reported for organisations with identifiers up to 5 characters in length. </w:t>
                  </w:r>
                  <w:hyperlink w:history="true" r:id="Re8f717bd878348c8">
                    <w:r>
                      <w:rPr>
                        <w:rStyle w:val="Hyperlink"/>
                      </w:rPr>
                      <w:t xml:space="preserve">Establishment—organisation identifier (state/territory), NNNNN[NNNN]</w:t>
                    </w:r>
                  </w:hyperlink>
                  <w:r>
                    <w:t xml:space="preserve"> is to be reported for organisations with identifiers of between 6 and 9 characters in length.</w:t>
                  </w:r>
                </w:p>
                <w:p>
                  <w:r>
                    <w:t xml:space="preserve">Data must be reported for at least one of the two elements.</w:t>
                  </w:r>
                </w:p>
                <w:p>
                  <w:r>
                    <w:t xml:space="preserve">Data may be reported for both elements (i.e. where the ID to be reported has changed.)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49b62cdebf084d11">
                    <w:r>
                      <w:rPr>
                        <w:rStyle w:val="Hyperlink"/>
                      </w:rPr>
                      <w:t xml:space="preserve">Establishment—organisation identifier (state/territory), NNNNN[NNNN]</w:t>
                    </w:r>
                  </w:hyperlink>
                </w:p>
                <w:p>
                  <w:r>
                    <w:rPr>
                      <w:b/>
                      <w:i/>
                      <w:color w:val="333333"/>
                    </w:rPr>
                    <w:t xml:space="preserve">Conditional obligation:</w:t>
                  </w:r>
                </w:p>
                <w:p>
                  <w:r>
                    <w:t xml:space="preserve">This data element is reported conditionally with the element </w:t>
                  </w:r>
                  <w:hyperlink w:history="true" r:id="R7a76f935c4b24a01">
                    <w:r>
                      <w:rPr>
                        <w:rStyle w:val="Hyperlink"/>
                      </w:rPr>
                      <w:t xml:space="preserve">Establishment—organisation identifier (state/territory), NNNNN.</w:t>
                    </w:r>
                  </w:hyperlink>
                </w:p>
                <w:p>
                  <w:hyperlink w:history="true" r:id="Rb9701b87ddbf479d">
                    <w:r>
                      <w:rPr>
                        <w:rStyle w:val="Hyperlink"/>
                      </w:rPr>
                      <w:t xml:space="preserve">Establishment—organisation identifier (state/territory), NNNNN</w:t>
                    </w:r>
                  </w:hyperlink>
                  <w:r>
                    <w:t xml:space="preserve"> is to be reported for organisations with identifiers up to 5 characters in length. </w:t>
                  </w:r>
                  <w:hyperlink w:history="true" r:id="R8d1fb22127764816">
                    <w:r>
                      <w:rPr>
                        <w:rStyle w:val="Hyperlink"/>
                      </w:rPr>
                      <w:t xml:space="preserve">Establishment—organisation identifier (state/territory), NNNNN[NNNN]</w:t>
                    </w:r>
                  </w:hyperlink>
                  <w:r>
                    <w:t xml:space="preserve"> is to be reported for organisations with identifiers of between 6 and 9 characters in length.</w:t>
                  </w:r>
                </w:p>
                <w:p>
                  <w:r>
                    <w:t xml:space="preserve">Data must be reported for at least one of the two elements.</w:t>
                  </w:r>
                </w:p>
                <w:p>
                  <w:r>
                    <w:t xml:space="preserve">Data may be reported for both elements (i.e. where the ID to be reported has changed.)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7d0303a362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acd4d2861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d0303a36243df" /><Relationship Type="http://schemas.openxmlformats.org/officeDocument/2006/relationships/header" Target="/word/header1.xml" Id="Rdcb09afcf8aa4df9" /><Relationship Type="http://schemas.openxmlformats.org/officeDocument/2006/relationships/settings" Target="/word/settings.xml" Id="Rda7551cb48024512" /><Relationship Type="http://schemas.openxmlformats.org/officeDocument/2006/relationships/styles" Target="/word/styles.xml" Id="R65eb15b0a7cb4627" /><Relationship Type="http://schemas.openxmlformats.org/officeDocument/2006/relationships/numbering" Target="/word/numbering.xml" Id="Ra2057bcdd8f74dfc" /><Relationship Type="http://schemas.openxmlformats.org/officeDocument/2006/relationships/hyperlink" Target="https://meteor.aihw.gov.au/RegistrationAuthority/12" TargetMode="External" Id="Rb807facd0be94a10" /><Relationship Type="http://schemas.openxmlformats.org/officeDocument/2006/relationships/hyperlink" Target="https://meteor.aihw.gov.au/content/751480" TargetMode="External" Id="R0044b037e3ca40b7" /><Relationship Type="http://schemas.openxmlformats.org/officeDocument/2006/relationships/hyperlink" Target="https://www.safetyandquality.gov.au/publications-and-resources/resource-library/implementation-guide-surveillance-staphylococcus-aureus-bloodstream-infection" TargetMode="External" Id="Re5cbd9745930460e" /><Relationship Type="http://schemas.openxmlformats.org/officeDocument/2006/relationships/hyperlink" Target="https://meteor.aihw.gov.au/content/752224" TargetMode="External" Id="Raa6add51240b47e0" /><Relationship Type="http://schemas.openxmlformats.org/officeDocument/2006/relationships/hyperlink" Target="https://meteor.aihw.gov.au/RegistrationAuthority/12" TargetMode="External" Id="R97bedcf08b3940e0" /><Relationship Type="http://schemas.openxmlformats.org/officeDocument/2006/relationships/hyperlink" Target="https://meteor.aihw.gov.au/content/792055" TargetMode="External" Id="R712aee814bb844d8" /><Relationship Type="http://schemas.openxmlformats.org/officeDocument/2006/relationships/hyperlink" Target="https://meteor.aihw.gov.au/RegistrationAuthority/12" TargetMode="External" Id="R9e59d4fa68fd441a" /><Relationship Type="http://schemas.openxmlformats.org/officeDocument/2006/relationships/hyperlink" Target="https://meteor.aihw.gov.au/content/290046" TargetMode="External" Id="Ra1ca44276ce54e4d" /><Relationship Type="http://schemas.openxmlformats.org/officeDocument/2006/relationships/hyperlink" Target="https://meteor.aihw.gov.au/content/613331" TargetMode="External" Id="R2f1e2a5843e146b6" /><Relationship Type="http://schemas.openxmlformats.org/officeDocument/2006/relationships/hyperlink" Target="https://meteor.aihw.gov.au/content/613340" TargetMode="External" Id="R9a7d454d4cb14c32" /><Relationship Type="http://schemas.openxmlformats.org/officeDocument/2006/relationships/hyperlink" Target="https://meteor.aihw.gov.au/content/602543" TargetMode="External" Id="Re534558702ef4655" /><Relationship Type="http://schemas.openxmlformats.org/officeDocument/2006/relationships/hyperlink" Target="https://meteor.aihw.gov.au/content/287007" TargetMode="External" Id="R2e6da96a60d04176" /><Relationship Type="http://schemas.openxmlformats.org/officeDocument/2006/relationships/hyperlink" Target="https://meteor.aihw.gov.au/content/741686" TargetMode="External" Id="R19c3d2e19afb42a4" /><Relationship Type="http://schemas.openxmlformats.org/officeDocument/2006/relationships/hyperlink" Target="https://meteor.aihw.gov.au/content/741842" TargetMode="External" Id="Re3ce33db9ce34382" /><Relationship Type="http://schemas.openxmlformats.org/officeDocument/2006/relationships/hyperlink" Target="https://meteor.aihw.gov.au/content/286620" TargetMode="External" Id="R2c46d5f88a924c8c" /><Relationship Type="http://schemas.openxmlformats.org/officeDocument/2006/relationships/hyperlink" Target="https://meteor.aihw.gov.au/content/429889" TargetMode="External" Id="R5d5c506d87844123" /><Relationship Type="http://schemas.openxmlformats.org/officeDocument/2006/relationships/hyperlink" Target="https://meteor.aihw.gov.au/content/720078" TargetMode="External" Id="Rf15eec8a521d4d35" /><Relationship Type="http://schemas.openxmlformats.org/officeDocument/2006/relationships/hyperlink" Target="https://meteor.aihw.gov.au/content/611398" TargetMode="External" Id="R670b5cd1d5cc4433" /><Relationship Type="http://schemas.openxmlformats.org/officeDocument/2006/relationships/hyperlink" Target="https://meteor.aihw.gov.au/content/695137" TargetMode="External" Id="Rab1b6e82c97149b6" /><Relationship Type="http://schemas.openxmlformats.org/officeDocument/2006/relationships/hyperlink" Target="https://meteor.aihw.gov.au/content/270025" TargetMode="External" Id="R99dc5717ca344281" /><Relationship Type="http://schemas.openxmlformats.org/officeDocument/2006/relationships/hyperlink" Target="https://meteor.aihw.gov.au/content/389201" TargetMode="External" Id="Rf0b7c16b93924821" /><Relationship Type="http://schemas.openxmlformats.org/officeDocument/2006/relationships/hyperlink" Target="https://meteor.aihw.gov.au/content/428420" TargetMode="External" Id="R06ffc52c1e91443d" /><Relationship Type="http://schemas.openxmlformats.org/officeDocument/2006/relationships/hyperlink" Target="https://meteor.aihw.gov.au/content/754348" TargetMode="External" Id="Rc835813da64b4525" /><Relationship Type="http://schemas.openxmlformats.org/officeDocument/2006/relationships/hyperlink" Target="https://meteor.aihw.gov.au/content/390779" TargetMode="External" Id="R7a6d7bbbc8224e8a" /><Relationship Type="http://schemas.openxmlformats.org/officeDocument/2006/relationships/hyperlink" Target="https://meteor.aihw.gov.au/content/428518" TargetMode="External" Id="R5f85be239cce4137" /><Relationship Type="http://schemas.openxmlformats.org/officeDocument/2006/relationships/hyperlink" Target="https://meteor.aihw.gov.au/content/428639" TargetMode="External" Id="Rf80538b6bbe042ee" /><Relationship Type="http://schemas.openxmlformats.org/officeDocument/2006/relationships/hyperlink" Target="https://meteor.aihw.gov.au/content/752242" TargetMode="External" Id="R33a15b5cd28340c0" /><Relationship Type="http://schemas.openxmlformats.org/officeDocument/2006/relationships/hyperlink" Target="https://meteor.aihw.gov.au/content/752302" TargetMode="External" Id="R845f50a9bcf04ab2" /><Relationship Type="http://schemas.openxmlformats.org/officeDocument/2006/relationships/hyperlink" Target="https://meteor.aihw.gov.au/content/752253" TargetMode="External" Id="R50f0690f08ef422e" /><Relationship Type="http://schemas.openxmlformats.org/officeDocument/2006/relationships/hyperlink" Target="https://meteor.aihw.gov.au/content/752242" TargetMode="External" Id="Rba49c06f0b134f48" /><Relationship Type="http://schemas.openxmlformats.org/officeDocument/2006/relationships/hyperlink" Target="https://meteor.aihw.gov.au/content/752267" TargetMode="External" Id="R1bb310f0410d457b" /><Relationship Type="http://schemas.openxmlformats.org/officeDocument/2006/relationships/hyperlink" Target="https://meteor.aihw.gov.au/content/752302" TargetMode="External" Id="R7c53a3c827044f03" /><Relationship Type="http://schemas.openxmlformats.org/officeDocument/2006/relationships/hyperlink" Target="https://meteor.aihw.gov.au/content/752295" TargetMode="External" Id="Rafd87e67afe4465f" /><Relationship Type="http://schemas.openxmlformats.org/officeDocument/2006/relationships/hyperlink" Target="https://meteor.aihw.gov.au/content/752267" TargetMode="External" Id="R71aa3ecb182a483e" /><Relationship Type="http://schemas.openxmlformats.org/officeDocument/2006/relationships/hyperlink" Target="https://meteor.aihw.gov.au/content/752282" TargetMode="External" Id="R29a3cb44ba6e417d" /><Relationship Type="http://schemas.openxmlformats.org/officeDocument/2006/relationships/hyperlink" Target="https://meteor.aihw.gov.au/content/752295" TargetMode="External" Id="R918a7d0928194929" /><Relationship Type="http://schemas.openxmlformats.org/officeDocument/2006/relationships/hyperlink" Target="https://meteor.aihw.gov.au/content/270045" TargetMode="External" Id="Reb52780c609c4d63" /><Relationship Type="http://schemas.openxmlformats.org/officeDocument/2006/relationships/hyperlink" Target="https://meteor.aihw.gov.au/content/752302" TargetMode="External" Id="Rfed878219d2e4e34" /><Relationship Type="http://schemas.openxmlformats.org/officeDocument/2006/relationships/hyperlink" Target="https://meteor.aihw.gov.au/content/269975" TargetMode="External" Id="R32da09361daa4e82" /><Relationship Type="http://schemas.openxmlformats.org/officeDocument/2006/relationships/hyperlink" Target="https://meteor.aihw.gov.au/content/269975" TargetMode="External" Id="R7953fb44be564ba3" /><Relationship Type="http://schemas.openxmlformats.org/officeDocument/2006/relationships/hyperlink" Target="https://meteor.aihw.gov.au/content/269975" TargetMode="External" Id="R5e561ac8d7b64c4b" /><Relationship Type="http://schemas.openxmlformats.org/officeDocument/2006/relationships/hyperlink" Target="https://meteor.aihw.gov.au/content/782022" TargetMode="External" Id="Re8f717bd878348c8" /><Relationship Type="http://schemas.openxmlformats.org/officeDocument/2006/relationships/hyperlink" Target="https://meteor.aihw.gov.au/content/782022" TargetMode="External" Id="R49b62cdebf084d11" /><Relationship Type="http://schemas.openxmlformats.org/officeDocument/2006/relationships/hyperlink" Target="https://meteor.aihw.gov.au/content/269975" TargetMode="External" Id="R7a76f935c4b24a01" /><Relationship Type="http://schemas.openxmlformats.org/officeDocument/2006/relationships/hyperlink" Target="https://meteor.aihw.gov.au/content/269975" TargetMode="External" Id="Rb9701b87ddbf479d" /><Relationship Type="http://schemas.openxmlformats.org/officeDocument/2006/relationships/hyperlink" Target="https://meteor.aihw.gov.au/content/782022" TargetMode="External" Id="R8d1fb22127764816" /></Relationships>
</file>

<file path=word/_rels/header1.xml.rels>&#65279;<?xml version="1.0" encoding="utf-8"?><Relationships xmlns="http://schemas.openxmlformats.org/package/2006/relationships"><Relationship Type="http://schemas.openxmlformats.org/officeDocument/2006/relationships/image" Target="/media/image.png" Id="R424acd4d28614e66" /></Relationships>
</file>