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378ff514b64540" /></Relationships>
</file>

<file path=word/document.xml><?xml version="1.0" encoding="utf-8"?>
<w:document xmlns:r="http://schemas.openxmlformats.org/officeDocument/2006/relationships" xmlns:w="http://schemas.openxmlformats.org/wordprocessingml/2006/main">
  <w:body>
    <w:p>
      <w:pPr>
        <w:pStyle w:val="Title"/>
      </w:pPr>
      <w:r>
        <w:t>Person—movement of eardrum check completed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Person—movement of eardrum check completed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movement of eardrum check completed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791624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4a8e86b0d042a0">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person had a check of the movement of the eardrum completed,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5a207698174229">
              <w:r>
                <w:rPr>
                  <w:rStyle w:val="Hyperlink"/>
                </w:rPr>
                <w:t xml:space="preserve">Person—movement of eardrum check completed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e479481454497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had a check of the movement of the eardrum (tympanic membrane) completed. For example, a check of eardrum movement conducted using tympanometry or other age-appropriate methods. Both ears should be checked. If a person has only one ear, only one ear can be checked. If there is detail in the patient record specific to only the left or right ear the person should still be included.</w:t>
            </w:r>
          </w:p>
          <w:p>
            <w:pPr>
              <w:spacing w:after="160"/>
            </w:pPr>
            <w:r>
              <w:rPr>
                <w:rStyle w:val="row-content-rich-text"/>
              </w:rPr>
              <w:t xml:space="preserve">CODE 2     No</w:t>
            </w:r>
          </w:p>
          <w:p>
            <w:pPr>
              <w:spacing w:after="160"/>
            </w:pPr>
            <w:r>
              <w:rPr>
                <w:rStyle w:val="row-content-rich-text"/>
              </w:rPr>
              <w:t xml:space="preserve">A person has not had a check of the movement of the eardrum completed. For example, because:</w:t>
            </w:r>
          </w:p>
          <w:p>
            <w:pPr>
              <w:pStyle w:val="ListParagraph"/>
              <w:numPr>
                <w:ilvl w:val="0"/>
                <w:numId w:val="2"/>
              </w:numPr>
            </w:pPr>
            <w:r>
              <w:rPr>
                <w:rStyle w:val="row-content-rich-text"/>
              </w:rPr>
              <w:t xml:space="preserve">the person has not visited the organisation within the specified time period</w:t>
            </w:r>
          </w:p>
          <w:p>
            <w:pPr>
              <w:pStyle w:val="ListParagraph"/>
              <w:numPr>
                <w:ilvl w:val="0"/>
                <w:numId w:val="2"/>
              </w:numPr>
            </w:pPr>
            <w:r>
              <w:rPr>
                <w:rStyle w:val="row-content-rich-text"/>
              </w:rPr>
              <w:t xml:space="preserve">the person, parent or guardian refused a check of one or both ears</w:t>
            </w:r>
          </w:p>
          <w:p>
            <w:pPr>
              <w:pStyle w:val="ListParagraph"/>
              <w:numPr>
                <w:ilvl w:val="0"/>
                <w:numId w:val="2"/>
              </w:numPr>
            </w:pPr>
            <w:r>
              <w:rPr>
                <w:rStyle w:val="row-content-rich-text"/>
              </w:rPr>
              <w:t xml:space="preserve">the clinician chose not to complete the check of one or both ears (for example, because of the presence of a foreign body in one or both ears or pain)</w:t>
            </w:r>
          </w:p>
          <w:p>
            <w:pPr>
              <w:pStyle w:val="ListParagraph"/>
              <w:numPr>
                <w:ilvl w:val="0"/>
                <w:numId w:val="2"/>
              </w:numPr>
            </w:pPr>
            <w:r>
              <w:rPr>
                <w:rStyle w:val="row-content-rich-text"/>
              </w:rPr>
              <w:t xml:space="preserve">the clinician did not have the necessary equipment to perform the check</w:t>
            </w:r>
          </w:p>
          <w:p>
            <w:pPr>
              <w:pStyle w:val="ListParagraph"/>
              <w:numPr>
                <w:ilvl w:val="0"/>
                <w:numId w:val="2"/>
              </w:numPr>
            </w:pPr>
            <w:r>
              <w:rPr>
                <w:rStyle w:val="row-content-rich-text"/>
              </w:rPr>
              <w:t xml:space="preserve">the clinician was not trained to perform the check</w:t>
            </w:r>
          </w:p>
          <w:p>
            <w:pPr>
              <w:pStyle w:val="ListParagraph"/>
              <w:numPr>
                <w:ilvl w:val="0"/>
                <w:numId w:val="2"/>
              </w:numPr>
            </w:pPr>
            <w:r>
              <w:rPr>
                <w:rStyle w:val="row-content-rich-text"/>
              </w:rPr>
              <w:t xml:space="preserve">there was insufficient information recorded to determine whether the check was performed at all.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d63bafaa0a4016">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289207e6b734863">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upon </w:t>
            </w:r>
            <w:hyperlink w:history="true" r:id="R974973088adc4727">
              <w:r>
                <w:rPr>
                  <w:rStyle w:val="Hyperlink"/>
                </w:rPr>
                <w:t xml:space="preserve">Person—age, total years N[NN]</w:t>
              </w:r>
            </w:hyperlink>
            <w:r>
              <w:rPr>
                <w:rStyle w:val="row-content"/>
              </w:rPr>
              <w:t xml:space="preserve"> being 0–14 years at the census date.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e4b9fb139c9426c">
              <w:r>
                <w:rPr>
                  <w:rStyle w:val="Hyperlink"/>
                </w:rPr>
                <w:t xml:space="preserve">First Nations-specific primary health care: PI26a-Number of First Nations regular clients aged 0–14 years who have a completed ear health check recorded, June 2024</w:t>
              </w:r>
            </w:hyperlink>
          </w:p>
          <w:p>
            <w:pPr>
              <w:spacing w:before="0" w:after="0"/>
            </w:pPr>
            <w:r>
              <w:rPr>
                <w:rStyle w:val="row-content"/>
                <w:color w:val="244061"/>
              </w:rPr>
              <w:t xml:space="preserve">       </w:t>
            </w:r>
            <w:hyperlink w:history="true" r:id="Rc68ded800fc04c39">
              <w:r>
                <w:rPr>
                  <w:rStyle w:val="Hyperlink"/>
                  <w:color w:val="244061"/>
                </w:rPr>
                <w:t xml:space="preserve">Indigenous</w:t>
              </w:r>
            </w:hyperlink>
            <w:r>
              <w:rPr>
                <w:rStyle w:val="row-content"/>
                <w:color w:val="244061"/>
              </w:rPr>
              <w:t xml:space="preserve">, Standard 27/04/2024</w:t>
            </w:r>
          </w:p>
          <w:p>
            <w:r>
              <w:br/>
            </w:r>
            <w:hyperlink w:history="true" r:id="R9ba93fc476b8450e">
              <w:r>
                <w:rPr>
                  <w:rStyle w:val="Hyperlink"/>
                </w:rPr>
                <w:t xml:space="preserve">First Nations-specific primary health care: PI26b-Proportion of First Nations regular clients aged 0–14 years who have a completed ear health check recorded, June 2024</w:t>
              </w:r>
            </w:hyperlink>
          </w:p>
          <w:p>
            <w:pPr>
              <w:spacing w:before="0" w:after="0"/>
            </w:pPr>
            <w:r>
              <w:rPr>
                <w:rStyle w:val="row-content"/>
                <w:color w:val="244061"/>
              </w:rPr>
              <w:t xml:space="preserve">       </w:t>
            </w:r>
            <w:hyperlink w:history="true" r:id="Re4c68b29b83d4f29">
              <w:r>
                <w:rPr>
                  <w:rStyle w:val="Hyperlink"/>
                  <w:color w:val="244061"/>
                </w:rPr>
                <w:t xml:space="preserve">Indigenous</w:t>
              </w:r>
            </w:hyperlink>
            <w:r>
              <w:rPr>
                <w:rStyle w:val="row-content"/>
                <w:color w:val="244061"/>
              </w:rPr>
              <w:t xml:space="preserve">, Standard 27/04/2024</w:t>
            </w:r>
          </w:p>
          <w:p>
            <w:r>
              <w:br/>
            </w:r>
          </w:p>
        </w:tc>
      </w:tr>
    </w:tbl>
    <w:p/>
    <w:tbl>
      <w:tblPr>
        <w:tblStyle w:val="TableGrid"/>
        <w:tblW w:w="0" w:type="auto"/>
      </w:tblPr>
    </w:tbl>
    <w:p>
      <w:r>
        <w:br/>
      </w:r>
    </w:p>
    <w:sectPr>
      <w:footerReference xmlns:r="http://schemas.openxmlformats.org/officeDocument/2006/relationships" w:type="default" r:id="R681573a166ea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791624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5d5be7c23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573a166ea44dc" /><Relationship Type="http://schemas.openxmlformats.org/officeDocument/2006/relationships/header" Target="/word/header1.xml" Id="R92e2c49f52d54a73" /><Relationship Type="http://schemas.openxmlformats.org/officeDocument/2006/relationships/settings" Target="/word/settings.xml" Id="R1e309c8583004bbd" /><Relationship Type="http://schemas.openxmlformats.org/officeDocument/2006/relationships/styles" Target="/word/styles.xml" Id="Rd5abf1ebbb794b64" /><Relationship Type="http://schemas.openxmlformats.org/officeDocument/2006/relationships/hyperlink" Target="https://meteor.aihw.gov.au/RegistrationAuthority/6" TargetMode="External" Id="Ra34a8e86b0d042a0" /><Relationship Type="http://schemas.openxmlformats.org/officeDocument/2006/relationships/hyperlink" Target="https://meteor.aihw.gov.au/content/791622" TargetMode="External" Id="R5c5a207698174229" /><Relationship Type="http://schemas.openxmlformats.org/officeDocument/2006/relationships/hyperlink" Target="https://meteor.aihw.gov.au/content/270732" TargetMode="External" Id="R44e479481454497f" /><Relationship Type="http://schemas.openxmlformats.org/officeDocument/2006/relationships/numbering" Target="/word/numbering.xml" Id="R3dcc8de34fde4156" /><Relationship Type="http://schemas.openxmlformats.org/officeDocument/2006/relationships/hyperlink" Target="https://meteor.aihw.gov.au/content/789146" TargetMode="External" Id="R45d63bafaa0a4016" /><Relationship Type="http://schemas.openxmlformats.org/officeDocument/2006/relationships/hyperlink" Target="https://meteor.aihw.gov.au/RegistrationAuthority/6" TargetMode="External" Id="Re289207e6b734863" /><Relationship Type="http://schemas.openxmlformats.org/officeDocument/2006/relationships/hyperlink" Target="https://meteor.aihw.gov.au/content/303794" TargetMode="External" Id="R974973088adc4727" /><Relationship Type="http://schemas.openxmlformats.org/officeDocument/2006/relationships/hyperlink" Target="https://meteor.aihw.gov.au/content/791609" TargetMode="External" Id="Rce4b9fb139c9426c" /><Relationship Type="http://schemas.openxmlformats.org/officeDocument/2006/relationships/hyperlink" Target="https://meteor.aihw.gov.au/RegistrationAuthority/6" TargetMode="External" Id="Rc68ded800fc04c39" /><Relationship Type="http://schemas.openxmlformats.org/officeDocument/2006/relationships/hyperlink" Target="https://meteor.aihw.gov.au/content/791644" TargetMode="External" Id="R9ba93fc476b8450e" /><Relationship Type="http://schemas.openxmlformats.org/officeDocument/2006/relationships/hyperlink" Target="https://meteor.aihw.gov.au/RegistrationAuthority/6" TargetMode="External" Id="Re4c68b29b83d4f29" /></Relationships>
</file>

<file path=word/_rels/header1.xml.rels>&#65279;<?xml version="1.0" encoding="utf-8"?><Relationships xmlns="http://schemas.openxmlformats.org/package/2006/relationships"><Relationship Type="http://schemas.openxmlformats.org/officeDocument/2006/relationships/image" Target="/media/image.png" Id="R8b95d5be7c234dd4" /></Relationships>
</file>