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3bc7018e294307"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PI26a-Number of First Nations regular clients aged 0–14 years who have a completed ear health check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PI26a-Number of First Nations regular clients aged 0–14 years who have a completed ear health check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PI26a-Number of First Nations regular clients aged 0–14 years who have a completed ear health check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2a646dd7b46b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2"/>
              </w:numPr>
            </w:pPr>
            <w:r>
              <w:rPr>
                <w:rStyle w:val="row-content-rich-text"/>
              </w:rPr>
              <w:t xml:space="preserve">Count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38b038f74a24e2e">
              <w:r>
                <w:rPr>
                  <w:rStyle w:val="Hyperlink"/>
                  <w:b/>
                </w:rPr>
                <w:t xml:space="preserve">First Nations regular clients</w:t>
              </w:r>
            </w:hyperlink>
            <w:r>
              <w:rPr>
                <w:rStyle w:val="row-content-rich-text"/>
              </w:rPr>
              <w:t xml:space="preserve"> aged 0–14 who had a completed check of the appearance of both ear canals and eardrums recorded in the previous 12 months.</w:t>
            </w:r>
          </w:p>
          <w:p>
            <w:pPr>
              <w:pStyle w:val="ListParagraph"/>
              <w:numPr>
                <w:ilvl w:val="0"/>
                <w:numId w:val="2"/>
              </w:numPr>
            </w:pPr>
            <w:r>
              <w:rPr>
                <w:rStyle w:val="row-content-rich-text"/>
              </w:rPr>
              <w:t xml:space="preserve">Count of First Nations regular clients aged 0–14 who had a completed check of the movement of both eardrums (tympanic membrane) recorded in the previous 12 months.</w:t>
            </w:r>
          </w:p>
          <w:p>
            <w:pPr>
              <w:pStyle w:val="ListParagraph"/>
              <w:numPr>
                <w:ilvl w:val="0"/>
                <w:numId w:val="2"/>
              </w:numPr>
            </w:pPr>
            <w:r>
              <w:rPr>
                <w:rStyle w:val="row-content-rich-text"/>
              </w:rPr>
              <w:t xml:space="preserve">Count of First Nations regular clients aged 0–14 who had a completed check of the appearance of both ear canals and eardrums recorded in the previous 12 months AND a completed check of the movement of both eardrums recorded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and accurate assessment of ear health is important to ensure early identification and management of ear disease and associated hearing loss. Collecting data on ear health checks will improve understanding of availability and/or accessing of these checks in primary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dc6dd7686a4089">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9e5d924495154d1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3"/>
              </w:numPr>
            </w:pPr>
            <w:r>
              <w:rPr>
                <w:rStyle w:val="row-content-rich-text"/>
              </w:rPr>
              <w:t xml:space="preserve">Count of First Nations regular clients aged 0–14 who had a completed check of the appearance of both ear canals and eardrums recorded in the previous 12 months.</w:t>
            </w:r>
          </w:p>
          <w:p>
            <w:pPr>
              <w:pStyle w:val="ListParagraph"/>
              <w:numPr>
                <w:ilvl w:val="0"/>
                <w:numId w:val="3"/>
              </w:numPr>
            </w:pPr>
            <w:r>
              <w:rPr>
                <w:rStyle w:val="row-content-rich-text"/>
              </w:rPr>
              <w:t xml:space="preserve">Count of First Nations regular clients aged 0–14 who had a completed check of the movement of both eardrums recorded in the previous 12 months.</w:t>
            </w:r>
          </w:p>
          <w:p>
            <w:pPr>
              <w:pStyle w:val="ListParagraph"/>
              <w:numPr>
                <w:ilvl w:val="0"/>
                <w:numId w:val="3"/>
              </w:numPr>
            </w:pPr>
            <w:r>
              <w:rPr>
                <w:rStyle w:val="row-content-rich-text"/>
              </w:rPr>
              <w:t xml:space="preserve">Count of First Nations regular clients aged 0–14 who had a completed check of the appearance of both ear canals and eardrums recorded in the previous 12 months AND a completed check of the movement of both eardrums recorded in the previous 12 months.</w:t>
            </w:r>
          </w:p>
          <w:p>
            <w:pPr>
              <w:spacing w:after="160"/>
            </w:pPr>
            <w:r>
              <w:rPr>
                <w:rStyle w:val="row-content-rich-text"/>
              </w:rPr>
              <w:t xml:space="preserve">Presented as a number.</w:t>
            </w:r>
          </w:p>
          <w:p>
            <w:pPr>
              <w:spacing w:after="160"/>
            </w:pPr>
            <w:r>
              <w:rPr>
                <w:rStyle w:val="row-content-rich-text"/>
              </w:rPr>
              <w:t xml:space="preserve">Count is of people, not ear health checks.</w:t>
            </w:r>
          </w:p>
          <w:p>
            <w:pPr>
              <w:spacing w:after="160"/>
            </w:pPr>
            <w:r>
              <w:rPr>
                <w:rStyle w:val="row-content-rich-text"/>
              </w:rPr>
              <w:t xml:space="preserve">Clients may be counted in one or all parts of the indicator. For example:</w:t>
            </w:r>
          </w:p>
          <w:p>
            <w:pPr>
              <w:pStyle w:val="ListParagraph"/>
              <w:numPr>
                <w:ilvl w:val="0"/>
                <w:numId w:val="4"/>
              </w:numPr>
            </w:pPr>
            <w:r>
              <w:rPr>
                <w:rStyle w:val="row-content-rich-text"/>
              </w:rPr>
              <w:t xml:space="preserve">a client with only appearance checked is counted once in the ‘appearance’ group (part 1)</w:t>
            </w:r>
          </w:p>
          <w:p>
            <w:pPr>
              <w:pStyle w:val="ListParagraph"/>
              <w:numPr>
                <w:ilvl w:val="0"/>
                <w:numId w:val="4"/>
              </w:numPr>
            </w:pPr>
            <w:r>
              <w:rPr>
                <w:rStyle w:val="row-content-rich-text"/>
              </w:rPr>
              <w:t xml:space="preserve">a client with only movement checked is counted once in the ‘movement’ group (part 2)</w:t>
            </w:r>
          </w:p>
          <w:p>
            <w:pPr>
              <w:pStyle w:val="ListParagraph"/>
              <w:numPr>
                <w:ilvl w:val="0"/>
                <w:numId w:val="4"/>
              </w:numPr>
            </w:pPr>
            <w:r>
              <w:rPr>
                <w:rStyle w:val="row-content-rich-text"/>
              </w:rPr>
              <w:t xml:space="preserve">a client with both appearance AND movement checked is counted once in the ‘appearance’ group (part 1), once in the ‘movement' group (part 2) and once in the combined ‘appearance AND movement’ group (part 3). </w:t>
            </w:r>
          </w:p>
          <w:p>
            <w:pPr>
              <w:spacing w:after="160"/>
            </w:pPr>
            <w:r>
              <w:rPr>
                <w:rStyle w:val="row-content-rich-text"/>
              </w:rPr>
              <w:t xml:space="preserve">Include: ear health checks recorded within the previous 12 months. For the purposes of this indicator, included ear health checks are either:</w:t>
            </w:r>
          </w:p>
          <w:p>
            <w:pPr>
              <w:pStyle w:val="ListParagraph"/>
              <w:numPr>
                <w:ilvl w:val="0"/>
                <w:numId w:val="5"/>
              </w:numPr>
            </w:pPr>
            <w:r>
              <w:rPr>
                <w:rStyle w:val="row-content-rich-text"/>
              </w:rPr>
              <w:t xml:space="preserve">checks recorded in an ear health section of a Clinical Information System (CIS) module</w:t>
            </w:r>
          </w:p>
          <w:p>
            <w:pPr>
              <w:pStyle w:val="ListParagraph"/>
              <w:numPr>
                <w:ilvl w:val="0"/>
                <w:numId w:val="5"/>
              </w:numPr>
            </w:pPr>
            <w:r>
              <w:rPr>
                <w:rStyle w:val="row-content-rich-text"/>
              </w:rPr>
              <w:t xml:space="preserve">checks as defined by the conditions/diagnoses and ear health check procedures terms and codes specified in the ear condition coding framework (Solving Health 2024).</w:t>
            </w:r>
          </w:p>
          <w:p>
            <w:pPr>
              <w:spacing w:after="160"/>
            </w:pPr>
            <w:r>
              <w:rPr>
                <w:rStyle w:val="row-content-rich-text"/>
              </w:rPr>
              <w:t xml:space="preserve">Include: ear health checks that have been conducted outside the First Nations-specific primary health care organisation within the previous 12 months, by any provider type such as ear health checks conducted by visiting health professionals or audiologists.</w:t>
            </w:r>
          </w:p>
          <w:p>
            <w:pPr>
              <w:spacing w:after="160"/>
            </w:pPr>
            <w:r>
              <w:rPr>
                <w:rStyle w:val="row-content-rich-text"/>
              </w:rPr>
              <w:t xml:space="preserve">Counting rules:</w:t>
            </w:r>
          </w:p>
          <w:p>
            <w:pPr>
              <w:pStyle w:val="ListParagraph"/>
              <w:numPr>
                <w:ilvl w:val="0"/>
                <w:numId w:val="6"/>
              </w:numPr>
            </w:pPr>
            <w:r>
              <w:rPr>
                <w:rStyle w:val="row-content-rich-text"/>
              </w:rPr>
              <w:t xml:space="preserve">Order of precedence: information in the ear health check section of the CIS takes precedence over ear health procedures as defined in the ear condition coding framework, which takes precedence over ear health diagnoses as defined in the ear condition coding framework. For example, if there is information recorded in the ear health check section of the CIS, use this. If there is no information in the ear health check section of the CIS, consider the procedures. If there is no information on procedures, consider the diagnoses.</w:t>
            </w:r>
          </w:p>
          <w:p>
            <w:pPr>
              <w:pStyle w:val="ListParagraph"/>
              <w:numPr>
                <w:ilvl w:val="0"/>
                <w:numId w:val="6"/>
              </w:numPr>
            </w:pPr>
            <w:r>
              <w:rPr>
                <w:rStyle w:val="row-content-rich-text"/>
              </w:rPr>
              <w:t xml:space="preserve">Within each order of precedence level, the status of ‘completed’ takes precedence over ‘not completed’. That is, within each level, include any ear health check recorded as completed within the past 12 months even if a more recent check is not completed. For example, if the most recent ear health check in the ear check section of the CIS is recorded as ‘not completed’ and a previous check was recorded as ‘completed’ within the previous 12 months, the check should be counted as ‘completed’. </w:t>
            </w:r>
          </w:p>
          <w:p>
            <w:pPr>
              <w:pStyle w:val="ListParagraph"/>
              <w:numPr>
                <w:ilvl w:val="0"/>
                <w:numId w:val="6"/>
              </w:numPr>
            </w:pPr>
            <w:r>
              <w:rPr>
                <w:rStyle w:val="row-content-rich-text"/>
              </w:rPr>
              <w:t xml:space="preserve">If it cannot be determined in the CIS which part of the check was completed (that is, appearance, or movement, or both appearance and movement), count all parts as completed. For example:</w:t>
            </w:r>
            <w:r>
              <w:br/>
            </w:r>
            <w:r>
              <w:rPr>
                <w:rStyle w:val="row-content-rich-text"/>
              </w:rPr>
              <w:t xml:space="preserve">        • ear health check section items that do not distinguish between checks for appearance and movement</w:t>
            </w:r>
            <w:r>
              <w:br/>
            </w:r>
            <w:r>
              <w:rPr>
                <w:rStyle w:val="row-content-rich-text"/>
              </w:rPr>
              <w:t xml:space="preserve">        • procedures and diagnoses in the ear condition coding framework that do not distinguish between checks for appearance and movement.</w:t>
            </w:r>
          </w:p>
          <w:p>
            <w:pPr>
              <w:pStyle w:val="ListParagraph"/>
              <w:numPr>
                <w:ilvl w:val="0"/>
                <w:numId w:val="6"/>
              </w:numPr>
            </w:pPr>
            <w:r>
              <w:rPr>
                <w:rStyle w:val="row-content-rich-text"/>
              </w:rPr>
              <w:t xml:space="preserve">Blank fields are considered ‘not completed’. </w:t>
            </w:r>
          </w:p>
          <w:p>
            <w:pPr>
              <w:pStyle w:val="ListParagraph"/>
              <w:numPr>
                <w:ilvl w:val="0"/>
                <w:numId w:val="6"/>
              </w:numPr>
            </w:pPr>
            <w:r>
              <w:rPr>
                <w:rStyle w:val="row-content-rich-text"/>
              </w:rPr>
              <w:t xml:space="preserve">If it cannot be determined in the CIS that a check was performed at all (that is, that any part was completed), do not count any part as completed.</w:t>
            </w:r>
          </w:p>
          <w:p>
            <w:pPr>
              <w:spacing w:after="160"/>
            </w:pPr>
            <w:r>
              <w:rPr>
                <w:rStyle w:val="row-content-rich-text"/>
              </w:rPr>
              <w:t xml:space="preserve">Limitations:</w:t>
            </w:r>
          </w:p>
          <w:p>
            <w:pPr>
              <w:pStyle w:val="ListParagraph"/>
              <w:numPr>
                <w:ilvl w:val="0"/>
                <w:numId w:val="7"/>
              </w:numPr>
            </w:pPr>
            <w:r>
              <w:rPr>
                <w:rStyle w:val="row-content-rich-text"/>
              </w:rPr>
              <w:t xml:space="preserve">For practical reasons, this indicator does not distinguish between client groups who may have different requirements around the type and frequency of ear health checks. For example:</w:t>
            </w:r>
            <w:r>
              <w:br/>
            </w:r>
            <w:r>
              <w:rPr>
                <w:rStyle w:val="row-content-rich-text"/>
              </w:rPr>
              <w:t xml:space="preserve">        • This indicator collects information on children who had an ear health check at least once in the previous 12 months. Clinical and best practice guidelines, however, may recommend more frequent checks depending on the child’s age, clinical history and other factors.</w:t>
            </w:r>
            <w:r>
              <w:br/>
            </w:r>
            <w:r>
              <w:rPr>
                <w:rStyle w:val="row-content-rich-text"/>
              </w:rPr>
              <w:t xml:space="preserve">        • This indicator includes children who are under active management for an ear condition. These children may have different clinical requirements around type and frequency of ear health checks. For example, some children will be included in the denominator for whom it is not clinically appropriate to conduct checks of the movement of the eardrum (for example, those with ear discharge).</w:t>
            </w:r>
          </w:p>
          <w:p>
            <w:pPr>
              <w:pStyle w:val="ListParagraph"/>
              <w:numPr>
                <w:ilvl w:val="0"/>
                <w:numId w:val="7"/>
              </w:numPr>
            </w:pPr>
            <w:r>
              <w:rPr>
                <w:rStyle w:val="row-content-rich-text"/>
              </w:rPr>
              <w:t xml:space="preserve">For some ear health checks, particularly those based on the conditions/diagnoses or procedures terms and codes specified in the ear condition coding framework:</w:t>
            </w:r>
            <w:r>
              <w:br/>
            </w:r>
            <w:r>
              <w:rPr>
                <w:rStyle w:val="row-content-rich-text"/>
              </w:rPr>
              <w:t xml:space="preserve">        • it may not be possible to confirm that both ears were checked</w:t>
            </w:r>
            <w:r>
              <w:br/>
            </w:r>
            <w:r>
              <w:rPr>
                <w:rStyle w:val="row-content-rich-text"/>
              </w:rPr>
              <w:t xml:space="preserve">        • it may not be possible to determine which check was conducted (that is, appearance or movement) and this may result in the movement component, in particular, being overstated</w:t>
            </w:r>
            <w:r>
              <w:br/>
            </w:r>
            <w:r>
              <w:rPr>
                <w:rStyle w:val="row-content-rich-text"/>
              </w:rPr>
              <w:t xml:space="preserve">        • an ear diagnosis might only be recorded once within a CIS and, as such, completed ear health checks may be undercounted if the client has an ear condition that persists for more than 12 months and a recheck or new diagnosis date was not recorded</w:t>
            </w:r>
            <w:r>
              <w:br/>
            </w:r>
            <w:r>
              <w:rPr>
                <w:rStyle w:val="row-content-rich-text"/>
              </w:rPr>
              <w:t xml:space="preserve">        • the date recorded in the CIS may reflect the date of data entry rather than the date of diagnosis.</w:t>
            </w:r>
          </w:p>
          <w:p>
            <w:pPr>
              <w:pStyle w:val="ListParagraph"/>
              <w:numPr>
                <w:ilvl w:val="0"/>
                <w:numId w:val="7"/>
              </w:numPr>
            </w:pPr>
            <w:r>
              <w:rPr>
                <w:rStyle w:val="row-content-rich-text"/>
              </w:rPr>
              <w:t xml:space="preserve">This indicator relies on information being recorded in the CIS. For various reasons, an ear health check may have been conducted but the results were not recorded in the CIS at all or were not recorded in an appropriate or extractable field. In such cases, completed ear health checks will be undercounted. For example, there are known issues with recording of ear health checks conducted outside the First Nations-specific primary health care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0–14 who had a check of the appearance of both ear canals and eardrums recorded as ‘completed’ within the previous 12 months.</w:t>
            </w:r>
          </w:p>
          <w:p>
            <w:pPr>
              <w:spacing w:after="160"/>
            </w:pPr>
            <w:r>
              <w:rPr>
                <w:rStyle w:val="row-content-rich-text"/>
              </w:rPr>
              <w:t xml:space="preserve">Calculation B: Number of First Nations regular clients aged 0–14 who had a check of the movement of both eardrums recorded as ‘completed’ within the previous 12 months.</w:t>
            </w:r>
          </w:p>
          <w:p>
            <w:pPr/>
            <w:r>
              <w:rPr>
                <w:rStyle w:val="row-content-rich-text"/>
              </w:rPr>
              <w:t xml:space="preserve">Calculation C: Number of First Nations regular clients aged 0–14 who had a check of the appearance of both ear canals and eardrums recorded as ‘completed’ within the previous 12 months AND a check of the movement of both eardrums recorded as ‘completed’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489e5c67c240b1">
              <w:r>
                <w:rPr>
                  <w:rStyle w:val="Hyperlink"/>
                </w:rPr>
                <w:t xml:space="preserve">Person—age, total years N[NN]</w:t>
              </w:r>
            </w:hyperlink>
          </w:p>
          <w:p>
            <w:r>
              <w:rPr>
                <w:rStyle w:val="row-content"/>
                <w:b/>
              </w:rPr>
              <w:t xml:space="preserve">Data Source</w:t>
            </w:r>
          </w:p>
          <w:p>
            <w:hyperlink w:history="true" r:id="Rb7abd1a9717843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5288873c2f409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0–14 years only.</w:t>
            </w:r>
          </w:p>
          <w:p>
            <w:r>
              <w:rPr>
                <w:rStyle w:val="row-content"/>
              </w:rPr>
              <w:t xml:space="preserve"> </w:t>
            </w:r>
          </w:p>
          <w:p>
            <w:r>
              <w:rPr>
                <w:rStyle w:val="row-content"/>
                <w:b/>
                <w:color w:val="000000"/>
              </w:rPr>
              <w:t xml:space="preserve">Data Element / Data Set</w:t>
            </w:r>
          </w:p>
          <w:p>
            <w:hyperlink w:history="true" r:id="Rd742ab8583ed4b47">
              <w:r>
                <w:rPr>
                  <w:rStyle w:val="Hyperlink"/>
                </w:rPr>
                <w:t xml:space="preserve">Person—Indigenous status, code N</w:t>
              </w:r>
            </w:hyperlink>
          </w:p>
          <w:p>
            <w:r>
              <w:rPr>
                <w:rStyle w:val="row-content"/>
                <w:b/>
              </w:rPr>
              <w:t xml:space="preserve">Data Source</w:t>
            </w:r>
          </w:p>
          <w:p>
            <w:hyperlink w:history="true" r:id="R9d629c045a124d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899385bca84b0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928b6ef9b6e4d40">
              <w:r>
                <w:rPr>
                  <w:rStyle w:val="Hyperlink"/>
                </w:rPr>
                <w:t xml:space="preserve">Person—regular client indicator, yes/no code N</w:t>
              </w:r>
            </w:hyperlink>
          </w:p>
          <w:p>
            <w:r>
              <w:rPr>
                <w:rStyle w:val="row-content"/>
                <w:b/>
              </w:rPr>
              <w:t xml:space="preserve">Data Source</w:t>
            </w:r>
          </w:p>
          <w:p>
            <w:hyperlink w:history="true" r:id="R4b7b172c200041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8a5ffe88874ed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c5049a9af9549b6">
              <w:r>
                <w:rPr>
                  <w:rStyle w:val="Hyperlink"/>
                </w:rPr>
                <w:t xml:space="preserve">Person—ear canal and eardrum appearance check completed flag, yes/no code N</w:t>
              </w:r>
            </w:hyperlink>
          </w:p>
          <w:p>
            <w:r>
              <w:rPr>
                <w:rStyle w:val="row-content"/>
                <w:b/>
              </w:rPr>
              <w:t xml:space="preserve">Data Source</w:t>
            </w:r>
          </w:p>
          <w:p>
            <w:hyperlink w:history="true" r:id="R6b154576e4c24a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62d27ae43948a8">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1f1746a93a0c497c">
              <w:r>
                <w:rPr>
                  <w:rStyle w:val="Hyperlink"/>
                </w:rPr>
                <w:t xml:space="preserve">Person—movement of eardrum check completed flag, yes/no code N</w:t>
              </w:r>
            </w:hyperlink>
          </w:p>
          <w:p>
            <w:r>
              <w:rPr>
                <w:rStyle w:val="row-content"/>
                <w:b/>
              </w:rPr>
              <w:t xml:space="preserve">Data Source</w:t>
            </w:r>
          </w:p>
          <w:p>
            <w:hyperlink w:history="true" r:id="Rb2283355ceab41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2fcfe9029c4991">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0–11 months</w:t>
            </w:r>
            <w:r>
              <w:br/>
            </w:r>
            <w:r>
              <w:rPr>
                <w:rStyle w:val="row-content-rich-text"/>
              </w:rPr>
              <w:t xml:space="preserve">b) 12–23 months</w:t>
            </w:r>
            <w:r>
              <w:br/>
            </w:r>
            <w:r>
              <w:rPr>
                <w:rStyle w:val="row-content-rich-text"/>
              </w:rPr>
              <w:t xml:space="preserve">c) 24–35 months</w:t>
            </w:r>
            <w:r>
              <w:br/>
            </w:r>
            <w:r>
              <w:rPr>
                <w:rStyle w:val="row-content-rich-text"/>
              </w:rPr>
              <w:t xml:space="preserve">d) 36–59 months</w:t>
            </w:r>
            <w:r>
              <w:br/>
            </w:r>
            <w:r>
              <w:rPr>
                <w:rStyle w:val="row-content-rich-text"/>
              </w:rPr>
              <w:t xml:space="preserve">e) 5–9 years</w:t>
            </w:r>
            <w:r>
              <w:br/>
            </w:r>
            <w:r>
              <w:rPr>
                <w:rStyle w:val="row-content-rich-text"/>
              </w:rPr>
              <w:t xml:space="preserve">f) 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c80d68edd443e0">
              <w:r>
                <w:rPr>
                  <w:rStyle w:val="Hyperlink"/>
                </w:rPr>
                <w:t xml:space="preserve">Person—age, total years N[NN]</w:t>
              </w:r>
            </w:hyperlink>
          </w:p>
          <w:p>
            <w:r>
              <w:rPr>
                <w:rStyle w:val="row-content"/>
                <w:b/>
              </w:rPr>
              <w:t xml:space="preserve">Data Source</w:t>
            </w:r>
          </w:p>
          <w:p>
            <w:hyperlink w:history="true" r:id="Ra7ed38c245844e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f2797bda914cc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a45b33ac833b4833">
              <w:r>
                <w:rPr>
                  <w:rStyle w:val="Hyperlink"/>
                </w:rPr>
                <w:t xml:space="preserve">Person—age, total months N[N]</w:t>
              </w:r>
            </w:hyperlink>
          </w:p>
          <w:p>
            <w:r>
              <w:rPr>
                <w:rStyle w:val="row-content"/>
                <w:b/>
              </w:rPr>
              <w:t xml:space="preserve">Data Source</w:t>
            </w:r>
          </w:p>
          <w:p>
            <w:hyperlink w:history="true" r:id="R986ef4ba54bf46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2f85829cd1420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5791059866e34f98">
              <w:r>
                <w:rPr>
                  <w:rStyle w:val="Hyperlink"/>
                </w:rPr>
                <w:t xml:space="preserve">Person—sex, code X</w:t>
              </w:r>
            </w:hyperlink>
          </w:p>
          <w:p>
            <w:r>
              <w:rPr>
                <w:rStyle w:val="row-content"/>
                <w:b/>
              </w:rPr>
              <w:t xml:space="preserve">Data Source</w:t>
            </w:r>
          </w:p>
          <w:p>
            <w:hyperlink w:history="true" r:id="R6121d1ca8c1d45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77be672c7d43a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Data for this indicator are collected as a pilot but are not currently publicly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2c67ebce01433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742ce7cf534a0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314db5ef62d4f3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Solving Health (2024) </w:t>
            </w:r>
            <w:hyperlink w:history="true" r:id="Rd0ccf4026a7f4975">
              <w:r>
                <w:rPr>
                  <w:rStyle w:val="Hyperlink"/>
                </w:rPr>
                <w:t xml:space="preserve">Specifications for national Key Performance Indicators and Online Services Reporting</w:t>
              </w:r>
            </w:hyperlink>
            <w:r>
              <w:rPr>
                <w:rStyle w:val="row-content-rich-text"/>
              </w:rPr>
              <w:t xml:space="preserve">, Solving Health, accessed 16 April 2024.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c3cf3f6aa349dc">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92e3725fee824feb">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f545c521658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8fb0bcfcd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45c5216584335" /><Relationship Type="http://schemas.openxmlformats.org/officeDocument/2006/relationships/header" Target="/word/header1.xml" Id="R21602875f8484977" /><Relationship Type="http://schemas.openxmlformats.org/officeDocument/2006/relationships/settings" Target="/word/settings.xml" Id="Rf18483803f4b41a8" /><Relationship Type="http://schemas.openxmlformats.org/officeDocument/2006/relationships/styles" Target="/word/styles.xml" Id="R59e3988681db4362" /><Relationship Type="http://schemas.openxmlformats.org/officeDocument/2006/relationships/hyperlink" Target="https://meteor.aihw.gov.au/RegistrationAuthority/6" TargetMode="External" Id="R2a62a646dd7b46ba" /><Relationship Type="http://schemas.openxmlformats.org/officeDocument/2006/relationships/numbering" Target="/word/numbering.xml" Id="R4e02c29b850448bc" /><Relationship Type="http://schemas.openxmlformats.org/officeDocument/2006/relationships/hyperlink" Target="https://meteor.aihw.gov.au/content/788128" TargetMode="External" Id="R638b038f74a24e2e" /><Relationship Type="http://schemas.openxmlformats.org/officeDocument/2006/relationships/hyperlink" Target="https://meteor.aihw.gov.au/content/789144" TargetMode="External" Id="R8cdc6dd7686a4089" /><Relationship Type="http://schemas.openxmlformats.org/officeDocument/2006/relationships/hyperlink" Target="https://meteor.aihw.gov.au/RegistrationAuthority/6" TargetMode="External" Id="R9e5d924495154d17" /><Relationship Type="http://schemas.openxmlformats.org/officeDocument/2006/relationships/hyperlink" Target="https://meteor.aihw.gov.au/content/303794" TargetMode="External" Id="R61489e5c67c240b1" /><Relationship Type="http://schemas.openxmlformats.org/officeDocument/2006/relationships/hyperlink" Target="https://meteor.aihw.gov.au/content/737914" TargetMode="External" Id="Rb7abd1a9717843eb" /><Relationship Type="http://schemas.openxmlformats.org/officeDocument/2006/relationships/hyperlink" Target="https://meteor.aihw.gov.au/content/789146" TargetMode="External" Id="Rf35288873c2f4099" /><Relationship Type="http://schemas.openxmlformats.org/officeDocument/2006/relationships/hyperlink" Target="https://meteor.aihw.gov.au/content/602543" TargetMode="External" Id="Rd742ab8583ed4b47" /><Relationship Type="http://schemas.openxmlformats.org/officeDocument/2006/relationships/hyperlink" Target="https://meteor.aihw.gov.au/content/737914" TargetMode="External" Id="R9d629c045a124d46" /><Relationship Type="http://schemas.openxmlformats.org/officeDocument/2006/relationships/hyperlink" Target="https://meteor.aihw.gov.au/content/789146" TargetMode="External" Id="R31899385bca84b00" /><Relationship Type="http://schemas.openxmlformats.org/officeDocument/2006/relationships/hyperlink" Target="https://meteor.aihw.gov.au/content/777814" TargetMode="External" Id="Re928b6ef9b6e4d40" /><Relationship Type="http://schemas.openxmlformats.org/officeDocument/2006/relationships/hyperlink" Target="https://meteor.aihw.gov.au/content/737914" TargetMode="External" Id="R4b7b172c2000417b" /><Relationship Type="http://schemas.openxmlformats.org/officeDocument/2006/relationships/hyperlink" Target="https://meteor.aihw.gov.au/content/789146" TargetMode="External" Id="Rdf8a5ffe88874ed8" /><Relationship Type="http://schemas.openxmlformats.org/officeDocument/2006/relationships/hyperlink" Target="https://meteor.aihw.gov.au/content/791616" TargetMode="External" Id="Rbc5049a9af9549b6" /><Relationship Type="http://schemas.openxmlformats.org/officeDocument/2006/relationships/hyperlink" Target="https://meteor.aihw.gov.au/content/737914" TargetMode="External" Id="R6b154576e4c24aaf" /><Relationship Type="http://schemas.openxmlformats.org/officeDocument/2006/relationships/hyperlink" Target="https://meteor.aihw.gov.au/content/789146" TargetMode="External" Id="R5262d27ae43948a8" /><Relationship Type="http://schemas.openxmlformats.org/officeDocument/2006/relationships/hyperlink" Target="https://meteor.aihw.gov.au/content/791624" TargetMode="External" Id="R1f1746a93a0c497c" /><Relationship Type="http://schemas.openxmlformats.org/officeDocument/2006/relationships/hyperlink" Target="https://meteor.aihw.gov.au/content/737914" TargetMode="External" Id="Rb2283355ceab41c1" /><Relationship Type="http://schemas.openxmlformats.org/officeDocument/2006/relationships/hyperlink" Target="https://meteor.aihw.gov.au/content/789146" TargetMode="External" Id="Rd12fcfe9029c4991" /><Relationship Type="http://schemas.openxmlformats.org/officeDocument/2006/relationships/hyperlink" Target="https://meteor.aihw.gov.au/content/303794" TargetMode="External" Id="R54c80d68edd443e0" /><Relationship Type="http://schemas.openxmlformats.org/officeDocument/2006/relationships/hyperlink" Target="https://meteor.aihw.gov.au/content/737914" TargetMode="External" Id="Ra7ed38c245844ed8" /><Relationship Type="http://schemas.openxmlformats.org/officeDocument/2006/relationships/hyperlink" Target="https://meteor.aihw.gov.au/content/789146" TargetMode="External" Id="R10f2797bda914cc7" /><Relationship Type="http://schemas.openxmlformats.org/officeDocument/2006/relationships/hyperlink" Target="https://meteor.aihw.gov.au/content/538047" TargetMode="External" Id="Ra45b33ac833b4833" /><Relationship Type="http://schemas.openxmlformats.org/officeDocument/2006/relationships/hyperlink" Target="https://meteor.aihw.gov.au/content/737914" TargetMode="External" Id="R986ef4ba54bf4683" /><Relationship Type="http://schemas.openxmlformats.org/officeDocument/2006/relationships/hyperlink" Target="https://meteor.aihw.gov.au/content/789146" TargetMode="External" Id="R952f85829cd14207" /><Relationship Type="http://schemas.openxmlformats.org/officeDocument/2006/relationships/hyperlink" Target="https://meteor.aihw.gov.au/content/741686" TargetMode="External" Id="R5791059866e34f98" /><Relationship Type="http://schemas.openxmlformats.org/officeDocument/2006/relationships/hyperlink" Target="https://meteor.aihw.gov.au/content/737914" TargetMode="External" Id="R6121d1ca8c1d454d" /><Relationship Type="http://schemas.openxmlformats.org/officeDocument/2006/relationships/hyperlink" Target="https://meteor.aihw.gov.au/content/789146" TargetMode="External" Id="Ree77be672c7d43a2" /><Relationship Type="http://schemas.openxmlformats.org/officeDocument/2006/relationships/hyperlink" Target="https://meteor.aihw.gov.au/content/410681" TargetMode="External" Id="Rc62c67ebce01433a" /><Relationship Type="http://schemas.openxmlformats.org/officeDocument/2006/relationships/hyperlink" Target="https://meteor.aihw.gov.au/content/737914" TargetMode="External" Id="R54742ce7cf534a01" /><Relationship Type="http://schemas.openxmlformats.org/officeDocument/2006/relationships/hyperlink" Target="https://meteor.aihw.gov.au/content/787038" TargetMode="External" Id="Rb314db5ef62d4f35" /><Relationship Type="http://schemas.openxmlformats.org/officeDocument/2006/relationships/hyperlink" Target="https://www.solvinghealth.au/projects" TargetMode="External" Id="Rd0ccf4026a7f4975" /><Relationship Type="http://schemas.openxmlformats.org/officeDocument/2006/relationships/hyperlink" Target="https://meteor.aihw.gov.au/content/791644" TargetMode="External" Id="Ra2c3cf3f6aa349dc" /><Relationship Type="http://schemas.openxmlformats.org/officeDocument/2006/relationships/hyperlink" Target="https://meteor.aihw.gov.au/RegistrationAuthority/6" TargetMode="External" Id="R92e3725fee824feb" /></Relationships>
</file>

<file path=word/_rels/header1.xml.rels>&#65279;<?xml version="1.0" encoding="utf-8"?><Relationships xmlns="http://schemas.openxmlformats.org/package/2006/relationships"><Relationship Type="http://schemas.openxmlformats.org/officeDocument/2006/relationships/image" Target="/media/image.png" Id="Re458fb0bcfcd4666" /></Relationships>
</file>