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4999c0b2614e77" /></Relationships>
</file>

<file path=word/document.xml><?xml version="1.0" encoding="utf-8"?>
<w:document xmlns:r="http://schemas.openxmlformats.org/officeDocument/2006/relationships" xmlns:w="http://schemas.openxmlformats.org/wordprocessingml/2006/main">
  <w:body>
    <w:p>
      <w:pPr>
        <w:pStyle w:val="Title"/>
      </w:pPr>
      <w:r>
        <w:t>Psychotropic medicines: 4a- Evidence of local arrangements to ensure people with cognitive impairment or disability receive appropriate non-medication strategies to prevent or reduce behaviours of concern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Psychotropic medicines: 4a- Evidence of local arrangements to ensure people with cognitive impairment or disability receive appropriate non-medication strategies to prevent or reduce behaviours of concern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to ensure people with cognitive impairment or disability receive appropriate non-medication strategies to prevent or reduce behaviours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874bebe29410e">
              <w:r>
                <w:rPr>
                  <w:rStyle w:val="Hyperlink"/>
                  <w:color w:val="244061"/>
                </w:rPr>
                <w:t xml:space="preserve">Australian Commission on Safety and Quality in Health Care</w:t>
              </w:r>
            </w:hyperlink>
            <w:r>
              <w:rPr>
                <w:rStyle w:val="row-content"/>
                <w:color w:val="244061"/>
              </w:rPr>
              <w:t xml:space="preserve">, Standard 09/05/2024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ensure people with cognitive impairment or disability receive appropriate non-medication strategies to prevent or reduce behaviours of concern.</w:t>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6319f7f77d4f85">
              <w:r>
                <w:rPr>
                  <w:rStyle w:val="Hyperlink"/>
                </w:rPr>
                <w:t xml:space="preserve">Psychotropic Medicines in Cognitive Disability or Impairment Clinical Care Standard 2024</w:t>
              </w:r>
            </w:hyperlink>
          </w:p>
          <w:p>
            <w:pPr>
              <w:pStyle w:val="registration-status"/>
              <w:spacing w:before="0" w:after="0"/>
            </w:pPr>
            <w:hyperlink w:history="true" r:id="R7e5428ec89ce45fc">
              <w:r>
                <w:rPr>
                  <w:rStyle w:val="Hyperlink"/>
                  <w:color w:val="244061"/>
                </w:rPr>
                <w:t xml:space="preserve">Australian Commission on Safety and Quality in Health Care</w:t>
              </w:r>
            </w:hyperlink>
            <w:r>
              <w:rPr>
                <w:rStyle w:val="row-content"/>
                <w:color w:val="244061"/>
              </w:rPr>
              <w:t xml:space="preserve">, Standard 09/05/2024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include policies, procedures and documented processes.</w:t>
            </w:r>
          </w:p>
          <w:p>
            <w:pPr>
              <w:spacing w:after="160"/>
            </w:pPr>
            <w:r>
              <w:rPr>
                <w:rStyle w:val="row-content-rich-text"/>
              </w:rPr>
              <w:t xml:space="preserve">The arrangements should specify the process to:</w:t>
            </w:r>
          </w:p>
          <w:p>
            <w:pPr>
              <w:pStyle w:val="ListParagraph"/>
              <w:numPr>
                <w:ilvl w:val="0"/>
                <w:numId w:val="2"/>
              </w:numPr>
            </w:pPr>
            <w:r>
              <w:rPr>
                <w:rStyle w:val="row-content-rich-text"/>
              </w:rPr>
              <w:t xml:space="preserve">Select and implement appropriate non‑medication strategies based on a person’s assessment</w:t>
            </w:r>
          </w:p>
          <w:p>
            <w:pPr>
              <w:pStyle w:val="ListParagraph"/>
              <w:numPr>
                <w:ilvl w:val="0"/>
                <w:numId w:val="2"/>
              </w:numPr>
            </w:pPr>
            <w:r>
              <w:rPr>
                <w:rStyle w:val="row-content-rich-text"/>
              </w:rPr>
              <w:t xml:space="preserve">Monitor and document a person’s response to the non‑medication strategies</w:t>
            </w:r>
          </w:p>
          <w:p>
            <w:pPr>
              <w:pStyle w:val="ListParagraph"/>
              <w:numPr>
                <w:ilvl w:val="0"/>
                <w:numId w:val="2"/>
              </w:numPr>
            </w:pPr>
            <w:r>
              <w:rPr>
                <w:rStyle w:val="row-content-rich-text"/>
              </w:rPr>
              <w:t xml:space="preserve">Ensure clinicians and other members of the workforce who are involved in the care of people with cognitive impairment or disability receive education and training on non‑medication strategies to prevent or reduce behaviours of concern, appropriate to their role and scope of practice</w:t>
            </w:r>
          </w:p>
          <w:p>
            <w:pPr>
              <w:pStyle w:val="ListParagraph"/>
              <w:numPr>
                <w:ilvl w:val="0"/>
                <w:numId w:val="2"/>
              </w:numPr>
            </w:pPr>
            <w:r>
              <w:rPr>
                <w:rStyle w:val="row-content-rich-text"/>
              </w:rPr>
              <w:t xml:space="preserve">Inform clinicians and other members of the workforce about the non‑medication strategies that can be implemented at the service, and</w:t>
            </w:r>
          </w:p>
          <w:p>
            <w:pPr>
              <w:pStyle w:val="ListParagraph"/>
              <w:numPr>
                <w:ilvl w:val="0"/>
                <w:numId w:val="2"/>
              </w:numPr>
            </w:pPr>
            <w:r>
              <w:rPr>
                <w:rStyle w:val="row-content-rich-text"/>
              </w:rPr>
              <w:t xml:space="preserve">Oversee implementation of the local arrangements and evaluate their effectiveness.</w:t>
            </w:r>
          </w:p>
          <w:p>
            <w:pPr>
              <w:spacing w:after="160"/>
            </w:pPr>
            <w:r>
              <w:rPr>
                <w:rStyle w:val="row-content-rich-text"/>
              </w:rPr>
              <w:t xml:space="preserve"> </w:t>
            </w:r>
          </w:p>
          <w:p>
            <w:pPr/>
            <w:r>
              <w:rPr>
                <w:rStyle w:val="row-content-rich-text"/>
              </w:rPr>
              <w:t xml:space="preserve"> </w:t>
            </w:r>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 </w:t>
            </w:r>
          </w:p>
          <w:p>
            <w:pPr/>
            <w:r>
              <w:rPr>
                <w:rStyle w:val="row-content-rich-text"/>
              </w:rPr>
              <w:t xml:space="preserve">An applicable setting that has documented evidence of locally approved arrangements that are implemented should record ‘Yes.’ Otherwise, the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Safety and quality monitoring and improvement, as part of the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09/05/2024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Psychotropic Medicine in Cognitive Disability or Impairment Clinical Care Standard. Sydney: ACSQHC; 2024.</w:t>
            </w:r>
          </w:p>
        </w:tc>
      </w:tr>
    </w:tbl>
    <w:p>
      <w:r>
        <w:br/>
      </w:r>
    </w:p>
    <w:sectPr>
      <w:footerReference xmlns:r="http://schemas.openxmlformats.org/officeDocument/2006/relationships" w:type="default" r:id="R81a25434bd18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791016</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34aff3b4c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25434bd1844a1" /><Relationship Type="http://schemas.openxmlformats.org/officeDocument/2006/relationships/header" Target="/word/header1.xml" Id="Rfdb57bd316ac47d6" /><Relationship Type="http://schemas.openxmlformats.org/officeDocument/2006/relationships/settings" Target="/word/settings.xml" Id="R037ce5f8d4eb456e" /><Relationship Type="http://schemas.openxmlformats.org/officeDocument/2006/relationships/styles" Target="/word/styles.xml" Id="R775c7d8cb6714828" /><Relationship Type="http://schemas.openxmlformats.org/officeDocument/2006/relationships/numbering" Target="/word/numbering.xml" Id="R6d2eeabc92f949ad" /><Relationship Type="http://schemas.openxmlformats.org/officeDocument/2006/relationships/hyperlink" Target="https://meteor.aihw.gov.au/RegistrationAuthority/18" TargetMode="External" Id="R85e874bebe29410e" /><Relationship Type="http://schemas.openxmlformats.org/officeDocument/2006/relationships/hyperlink" Target="https://meteor.aihw.gov.au/content/791005" TargetMode="External" Id="Rc16319f7f77d4f85" /><Relationship Type="http://schemas.openxmlformats.org/officeDocument/2006/relationships/hyperlink" Target="https://meteor.aihw.gov.au/RegistrationAuthority/18" TargetMode="External" Id="R7e5428ec89ce45fc" /></Relationships>
</file>

<file path=word/_rels/header1.xml.rels>&#65279;<?xml version="1.0" encoding="utf-8"?><Relationships xmlns="http://schemas.openxmlformats.org/package/2006/relationships"><Relationship Type="http://schemas.openxmlformats.org/officeDocument/2006/relationships/image" Target="/media/image.png" Id="R3e934aff3b4c4e3b" /></Relationships>
</file>