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c4e317831945e3" /></Relationships>
</file>

<file path=word/document.xml><?xml version="1.0" encoding="utf-8"?>
<w:document xmlns:r="http://schemas.openxmlformats.org/officeDocument/2006/relationships" xmlns:w="http://schemas.openxmlformats.org/wordprocessingml/2006/main">
  <w:body>
    <w:p>
      <w:pPr>
        <w:pStyle w:val="Title"/>
      </w:pPr>
      <w:r>
        <w:t>Heavy Menstrual Bleeding Clinical Care Standard: 6a-Evidence of protocols or pathways to ensure timely and appropriate referral of patients with heavy menstrual bleeding</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Heavy Menstrual Bleeding Clinical Care Standard: 6a-Evidence of protocols or pathways to ensure timely and appropriate referral of patients with heavy menstrual bleeding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6a-Evidence of protocols or pathways to ensure timely and appropriate referral of patients with heavy menstrual bleeding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316d97b55640c1">
              <w:r>
                <w:rPr>
                  <w:rStyle w:val="Hyperlink"/>
                  <w:color w:val="244061"/>
                </w:rPr>
                <w:t xml:space="preserve">Australian Commission on Safety and Quality in Health Care</w:t>
              </w:r>
            </w:hyperlink>
            <w:r>
              <w:rPr>
                <w:rStyle w:val="row-content"/>
                <w:color w:val="244061"/>
              </w:rPr>
              <w:t xml:space="preserve">, Standard 12/06/2024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protocols or pathways to ensure appropriate referral to a specialist for patients with </w:t>
            </w:r>
            <w:hyperlink w:tooltip="Heavy menstrual bleeding is excessive menstrual blood loss which interferes with a person's physical, emotional, social and material quality of life, and which can occur alone or in combination with other symptoms (National Institute for Health and Car..." w:history="true" r:id="R80c70eb90be24f28">
              <w:r>
                <w:rPr>
                  <w:rStyle w:val="Hyperlink"/>
                </w:rPr>
                <w:t xml:space="preserve">heavy menstrual bleeding</w:t>
              </w:r>
            </w:hyperlink>
            <w:r>
              <w:rPr>
                <w:rStyle w:val="row-content-rich-text"/>
              </w:rPr>
              <w:t xml:space="preserve"> when there is suspicion of malignancy or other significant pathology, or </w:t>
            </w:r>
            <w:r>
              <w:rPr>
                <w:rStyle w:val="row-content-rich-text"/>
              </w:rPr>
              <w:t xml:space="preserve">the </w:t>
            </w:r>
            <w:r>
              <w:rPr>
                <w:rStyle w:val="row-content-rich-text"/>
              </w:rPr>
              <w:t xml:space="preserve">patient has not had a satisfactory response to medical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530a9d5fbea46d0">
              <w:r>
                <w:rPr>
                  <w:rStyle w:val="Hyperlink"/>
                </w:rPr>
                <w:t xml:space="preserve">Heavy Menstrual Bleeding Clinical Care Standard 2024</w:t>
              </w:r>
            </w:hyperlink>
          </w:p>
          <w:p>
            <w:pPr>
              <w:pStyle w:val="registration-status"/>
              <w:spacing w:before="0" w:after="0"/>
            </w:pPr>
            <w:hyperlink w:history="true" r:id="R630e32d105bf477d">
              <w:r>
                <w:rPr>
                  <w:rStyle w:val="Hyperlink"/>
                  <w:color w:val="244061"/>
                </w:rPr>
                <w:t xml:space="preserve">Australian Commission on Safety and Quality in Health Care</w:t>
              </w:r>
            </w:hyperlink>
            <w:r>
              <w:rPr>
                <w:rStyle w:val="row-content"/>
                <w:color w:val="244061"/>
              </w:rPr>
              <w:t xml:space="preserve">, Standard 12/06/2024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protocols or pathways should specify the process to:</w:t>
            </w:r>
          </w:p>
          <w:p>
            <w:pPr>
              <w:pStyle w:val="ListParagraph"/>
              <w:numPr>
                <w:ilvl w:val="0"/>
                <w:numId w:val="2"/>
              </w:numPr>
            </w:pPr>
            <w:r>
              <w:rPr>
                <w:rStyle w:val="row-content-rich-text"/>
              </w:rPr>
              <w:t xml:space="preserve">Offer early referral to a non‑GP specialist when there is suspicion of malignancy or other significant pathology</w:t>
            </w:r>
          </w:p>
          <w:p>
            <w:pPr>
              <w:pStyle w:val="ListParagraph"/>
              <w:numPr>
                <w:ilvl w:val="0"/>
                <w:numId w:val="2"/>
              </w:numPr>
            </w:pPr>
            <w:r>
              <w:rPr>
                <w:rStyle w:val="row-content-rich-text"/>
              </w:rPr>
              <w:t xml:space="preserve">Offer a referral to a non‑GP specialist when the patient has not had a satisfactory response to medical management, and</w:t>
            </w:r>
          </w:p>
          <w:p>
            <w:pPr>
              <w:pStyle w:val="ListParagraph"/>
              <w:numPr>
                <w:ilvl w:val="0"/>
                <w:numId w:val="2"/>
              </w:numPr>
            </w:pPr>
            <w:r>
              <w:rPr>
                <w:rStyle w:val="row-content-rich-text"/>
              </w:rPr>
              <w:t xml:space="preserve">Assess adherence to the protocols or pathways.</w:t>
            </w:r>
          </w:p>
          <w:p>
            <w:pPr/>
            <w:r>
              <w:rPr>
                <w:rStyle w:val="row-content-rich-text"/>
              </w:rPr>
              <w:t xml:space="preserve">'Medical management' means hormonal or non-hormonal pharmacological treatment including the 52 mg levonorgestrel-releasing intrauterine device (LNG-IUD).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Yes/ No</w:t>
            </w:r>
          </w:p>
          <w:p>
            <w:pPr/>
            <w:r>
              <w:rPr>
                <w:rStyle w:val="row-content-rich-text"/>
              </w:rPr>
              <w:t xml:space="preserve">A healthcare setting that has documented evidence of locally approved policies or protocols that are implemented should record 'Yes'. Otherwise, the healthcare setting should record 'No'.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 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Safety and quality monitoring and improvement, as part of the clinical care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Applicable settings: General practice, and women’s health, family planning and sexual health services/clinics.</w:t>
            </w:r>
          </w:p>
          <w:p>
            <w:pPr/>
            <w:r>
              <w:rPr>
                <w:rStyle w:val="row-content-rich-text"/>
              </w:rPr>
              <w:t xml:space="preserve">This indicator can also be used in Aboriginal Community Controlled Health Services and Aboriginal medical services where appropriate.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13/06/2024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bl>
    <w:p>
      <w:r>
        <w:br/>
      </w:r>
    </w:p>
    <w:sectPr>
      <w:footerReference xmlns:r="http://schemas.openxmlformats.org/officeDocument/2006/relationships" w:type="default" r:id="R576cff903b4b49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788543</w:t>
    </w:r>
    <w:r>
      <w:ptab w:alignment="right" w:relativeTo="margin" w:leader="none"/>
    </w:r>
    <w:r>
      <w:t xml:space="preserve">Page </w:t>
    </w:r>
    <w:fldSimple w:instr="PAGE"/>
    <w:r>
      <w:t xml:space="preserve"> of </w:t>
    </w:r>
    <w:fldSimple w:instr="NUMPAGES"/>
    <w:r>
      <w:ptab w:alignment="left" w:relativeTo="margin" w:leader="none"/>
    </w:r>
    <w:r>
      <w:t>Downloaded 26-Jun-2024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4dc81375ed41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6cff903b4b499b" /><Relationship Type="http://schemas.openxmlformats.org/officeDocument/2006/relationships/header" Target="/word/header1.xml" Id="R8dd31824a2df4a6c" /><Relationship Type="http://schemas.openxmlformats.org/officeDocument/2006/relationships/settings" Target="/word/settings.xml" Id="Rba7e7a048eeb4eb4" /><Relationship Type="http://schemas.openxmlformats.org/officeDocument/2006/relationships/styles" Target="/word/styles.xml" Id="R87238b58e058471f" /><Relationship Type="http://schemas.openxmlformats.org/officeDocument/2006/relationships/numbering" Target="/word/numbering.xml" Id="R75e8cbf05be240ba" /><Relationship Type="http://schemas.openxmlformats.org/officeDocument/2006/relationships/hyperlink" Target="https://meteor.aihw.gov.au/RegistrationAuthority/18" TargetMode="External" Id="R48316d97b55640c1" /><Relationship Type="http://schemas.openxmlformats.org/officeDocument/2006/relationships/hyperlink" Target="https://meteor.aihw.gov.au/content/667292" TargetMode="External" Id="R80c70eb90be24f28" /><Relationship Type="http://schemas.openxmlformats.org/officeDocument/2006/relationships/hyperlink" Target="https://meteor.aihw.gov.au/content/788514" TargetMode="External" Id="R7530a9d5fbea46d0" /><Relationship Type="http://schemas.openxmlformats.org/officeDocument/2006/relationships/hyperlink" Target="https://meteor.aihw.gov.au/RegistrationAuthority/18" TargetMode="External" Id="R630e32d105bf477d" /></Relationships>
</file>

<file path=word/_rels/header1.xml.rels>&#65279;<?xml version="1.0" encoding="utf-8"?><Relationships xmlns="http://schemas.openxmlformats.org/package/2006/relationships"><Relationship Type="http://schemas.openxmlformats.org/officeDocument/2006/relationships/image" Target="/media/image.png" Id="R6a4dc81375ed41d6" /></Relationships>
</file>