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0e84ed8a1e04b43" /></Relationships>
</file>

<file path=word/document.xml><?xml version="1.0" encoding="utf-8"?>
<w:document xmlns:r="http://schemas.openxmlformats.org/officeDocument/2006/relationships" xmlns:w="http://schemas.openxmlformats.org/wordprocessingml/2006/main">
  <w:body>
    <w:p>
      <w:pPr>
        <w:pStyle w:val="Title"/>
      </w:pPr>
      <w:r>
        <w:t>First Nations-specific primary health care: PI06a-Number of First Nations regular clients with type 2 diabetes who have an HbA1c measurement result within a specified level, December 2023</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First Nations-specific primary health care: PI06a-Number of First Nations regular clients with type 2 diabetes who have an HbA1c measurement result within a specified level, December 2023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PI06a-Number of First Nations regular clients with type 2 diabetes who have an HbA1c measurement result within a specified level, December 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787955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5aba2720c6d4fd6">
              <w:r>
                <w:rPr>
                  <w:rStyle w:val="Hyperlink"/>
                  <w:color w:val="244061"/>
                </w:rPr>
                <w:t xml:space="preserve">Indigenous</w:t>
              </w:r>
            </w:hyperlink>
            <w:r>
              <w:rPr>
                <w:rStyle w:val="row-content"/>
                <w:color w:val="244061"/>
              </w:rPr>
              <w:t xml:space="preserve">, Standard 25/02/2024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w:t>
            </w:r>
            <w:hyperlink w:tooltip="First Nations regular client refers to a First Nations client of a funded organisation that is required to report against the First Nations-specific primary health care national Key Performance Indicators who has an active medical record; that is, a Fi..." w:history="true" r:id="Rac6848034fee4e19">
              <w:r>
                <w:rPr>
                  <w:rStyle w:val="Hyperlink"/>
                  <w:b/>
                </w:rPr>
                <w:t xml:space="preserve">First Nations regular clients</w:t>
              </w:r>
            </w:hyperlink>
            <w:r>
              <w:rPr>
                <w:rStyle w:val="row-content-rich-text"/>
              </w:rPr>
              <w:t xml:space="preserve"> with type 2 diabetes whose glycated haemoglobin (HbA1c) measurement result, recorded within either the previous 6 months or 12 months, was categorised as one of the following:</w:t>
            </w:r>
          </w:p>
          <w:p>
            <w:pPr>
              <w:pStyle w:val="ListParagraph"/>
              <w:numPr>
                <w:ilvl w:val="0"/>
                <w:numId w:val="2"/>
              </w:numPr>
            </w:pPr>
            <w:r>
              <w:rPr>
                <w:rStyle w:val="row-content-rich-text"/>
              </w:rPr>
              <w:t xml:space="preserve">less than or equal to 7% (less than or equal to 53 mmol/mol)</w:t>
            </w:r>
          </w:p>
          <w:p>
            <w:pPr>
              <w:pStyle w:val="ListParagraph"/>
              <w:numPr>
                <w:ilvl w:val="0"/>
                <w:numId w:val="2"/>
              </w:numPr>
            </w:pPr>
            <w:r>
              <w:rPr>
                <w:rStyle w:val="row-content-rich-text"/>
              </w:rPr>
              <w:t xml:space="preserve">greater than 7% but less than or equal to 8% (greater than 53 mmol/mol but less than or equal to 64 mmol/mol)</w:t>
            </w:r>
          </w:p>
          <w:p>
            <w:pPr>
              <w:pStyle w:val="ListParagraph"/>
              <w:numPr>
                <w:ilvl w:val="0"/>
                <w:numId w:val="2"/>
              </w:numPr>
            </w:pPr>
            <w:r>
              <w:rPr>
                <w:rStyle w:val="row-content-rich-text"/>
              </w:rPr>
              <w:t xml:space="preserve">greater than 8% but less than 10% (greater than 64 mmol/mol but less than 86 mmol/mol) or</w:t>
            </w:r>
          </w:p>
          <w:p>
            <w:pPr>
              <w:pStyle w:val="ListParagraph"/>
              <w:numPr>
                <w:ilvl w:val="0"/>
                <w:numId w:val="2"/>
              </w:numPr>
            </w:pPr>
            <w:r>
              <w:rPr>
                <w:rStyle w:val="row-content-rich-text"/>
              </w:rPr>
              <w:t xml:space="preserve">greater than or equal to 10% (greater than or equal to 86 mmol/mol).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Chronic diseases, such as diabetes, are a major cause of morbidity and mortality among First Nations people. Monitoring HbA1c levels plays a key role in the management of the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1b273222a284cbf">
              <w:r>
                <w:rPr>
                  <w:rStyle w:val="Hyperlink"/>
                </w:rPr>
                <w:t xml:space="preserve">Aboriginal and Torres Strait Islander specific primary health care national key performance indicators December 2023</w:t>
              </w:r>
            </w:hyperlink>
          </w:p>
          <w:p>
            <w:pPr>
              <w:spacing w:before="0" w:after="0"/>
            </w:pPr>
            <w:r>
              <w:rPr>
                <w:rStyle w:val="row-content"/>
                <w:color w:val="244061"/>
              </w:rPr>
              <w:t xml:space="preserve">       </w:t>
            </w:r>
            <w:hyperlink w:history="true" r:id="R7ed6884f85b14397">
              <w:r>
                <w:rPr>
                  <w:rStyle w:val="Hyperlink"/>
                  <w:color w:val="244061"/>
                </w:rPr>
                <w:t xml:space="preserve">Indigenous</w:t>
              </w:r>
            </w:hyperlink>
            <w:r>
              <w:rPr>
                <w:rStyle w:val="row-content"/>
                <w:color w:val="244061"/>
              </w:rPr>
              <w:t xml:space="preserve">, Standard 25/02/2024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First Nations regular clients with type 2 diabetes whose HbA1c measurement result, recorded within either the previous 6 months or 12 months, was categorised as one of the following:</w:t>
            </w:r>
          </w:p>
          <w:p>
            <w:pPr>
              <w:pStyle w:val="ListParagraph"/>
              <w:numPr>
                <w:ilvl w:val="0"/>
                <w:numId w:val="3"/>
              </w:numPr>
            </w:pPr>
            <w:r>
              <w:rPr>
                <w:rStyle w:val="row-content-rich-text"/>
              </w:rPr>
              <w:t xml:space="preserve">less than or equal to 7% (less than or equal to 53 mmol/mol)</w:t>
            </w:r>
          </w:p>
          <w:p>
            <w:pPr>
              <w:pStyle w:val="ListParagraph"/>
              <w:numPr>
                <w:ilvl w:val="0"/>
                <w:numId w:val="3"/>
              </w:numPr>
            </w:pPr>
            <w:r>
              <w:rPr>
                <w:rStyle w:val="row-content-rich-text"/>
              </w:rPr>
              <w:t xml:space="preserve">greater than 7% but less than or equal to 8% (greater than 53 mmol/mol but less than or equal to 64 mmol/mol)</w:t>
            </w:r>
          </w:p>
          <w:p>
            <w:pPr>
              <w:pStyle w:val="ListParagraph"/>
              <w:numPr>
                <w:ilvl w:val="0"/>
                <w:numId w:val="3"/>
              </w:numPr>
            </w:pPr>
            <w:r>
              <w:rPr>
                <w:rStyle w:val="row-content-rich-text"/>
              </w:rPr>
              <w:t xml:space="preserve">greater than 8% but less than 10% (greater than 64 mmol/mol but less than 86 mmol/mol) or</w:t>
            </w:r>
          </w:p>
          <w:p>
            <w:pPr>
              <w:pStyle w:val="ListParagraph"/>
              <w:numPr>
                <w:ilvl w:val="0"/>
                <w:numId w:val="3"/>
              </w:numPr>
            </w:pPr>
            <w:r>
              <w:rPr>
                <w:rStyle w:val="row-content-rich-text"/>
              </w:rPr>
              <w:t xml:space="preserve">greater than or equal to 10% (greater than or equal to 86 mmol/mol)</w:t>
            </w:r>
          </w:p>
          <w:p>
            <w:pPr>
              <w:spacing w:after="160"/>
            </w:pPr>
            <w:r>
              <w:rPr>
                <w:rStyle w:val="row-content-rich-text"/>
              </w:rPr>
              <w:t xml:space="preserve">Presented as a number.</w:t>
            </w:r>
          </w:p>
          <w:p>
            <w:pPr>
              <w:spacing w:after="160"/>
            </w:pPr>
            <w:r>
              <w:rPr>
                <w:rStyle w:val="row-content-rich-text"/>
              </w:rPr>
              <w:t xml:space="preserve">Exclude type 1 diabetes, secondary diabetes, gestational diabetes mellitus (GDM), previous GDM, impaired fasting glucose, impaired glucose tolerance.</w:t>
            </w:r>
          </w:p>
          <w:p>
            <w:pPr>
              <w:spacing w:after="160"/>
            </w:pPr>
            <w:r>
              <w:rPr>
                <w:rStyle w:val="row-content-rich-text"/>
              </w:rPr>
              <w:t xml:space="preserve">Calculated separately for each HbA1c range, for each time period.</w:t>
            </w:r>
          </w:p>
          <w:p>
            <w:pPr/>
            <w:r>
              <w:rPr>
                <w:rStyle w:val="row-content-rich-text"/>
              </w:rPr>
              <w:t xml:space="preserve">Include only the most recent HbA1c measurement result from each time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First Nations regular clients with type 2 diabetes whose HbA1c measurement result, recorded within the previous 6 months, was less than or equal to 7% (less than or equal to 53 mmol/mol).</w:t>
            </w:r>
          </w:p>
          <w:p>
            <w:pPr>
              <w:spacing w:after="160"/>
            </w:pPr>
            <w:r>
              <w:rPr>
                <w:rStyle w:val="row-content-rich-text"/>
              </w:rPr>
              <w:t xml:space="preserve">Calculation B: Number of First Nations regular clients with type 2 diabetes whose HbA1c measurement result, recorded within the previous 6 months, was greater than 7% but less than or equal to 8% (greater than 53 mmol/mol but less than or equal to 64 mmol/mol).</w:t>
            </w:r>
          </w:p>
          <w:p>
            <w:pPr>
              <w:spacing w:after="160"/>
            </w:pPr>
            <w:r>
              <w:rPr>
                <w:rStyle w:val="row-content-rich-text"/>
              </w:rPr>
              <w:t xml:space="preserve">Calculation C: Number of First Nations regular clients with type 2 diabetes whose HbA1c measurement result, recorded within the previous 6 months, was greater than 8% but less than 10% (greater than 64 mmol/mol but less than 86 mmol/mol).</w:t>
            </w:r>
          </w:p>
          <w:p>
            <w:pPr>
              <w:spacing w:after="160"/>
            </w:pPr>
            <w:r>
              <w:rPr>
                <w:rStyle w:val="row-content-rich-text"/>
              </w:rPr>
              <w:t xml:space="preserve">Calculation D: Number of First Nations regular clients with type 2 diabetes whose HbA1c measurement result, recorded within the previous 6 months, was greater than or equal to 10% (greater than or equal to 86 mmol/mol).</w:t>
            </w:r>
          </w:p>
          <w:p>
            <w:pPr>
              <w:spacing w:after="160"/>
            </w:pPr>
            <w:r>
              <w:rPr>
                <w:rStyle w:val="row-content-rich-text"/>
              </w:rPr>
              <w:t xml:space="preserve">Calculation E: Number of First Nations regular clients with type 2 diabetes whose HbA1c measurement result, recorded within the previous 12 months, was less than or equal to 7% (less than or equal to 53 mmol/mol).</w:t>
            </w:r>
          </w:p>
          <w:p>
            <w:pPr>
              <w:spacing w:after="160"/>
            </w:pPr>
            <w:r>
              <w:rPr>
                <w:rStyle w:val="row-content-rich-text"/>
              </w:rPr>
              <w:t xml:space="preserve">Calculation F: Number of First Nations regular clients with type 2 diabetes whose HbA1c measurement result, recorded within the previous 12 months, was greater than 7% but less than or equal to 8% (greater than 53 mmol/mol but less than or equal to 64 mmol/mol).</w:t>
            </w:r>
          </w:p>
          <w:p>
            <w:pPr>
              <w:spacing w:after="160"/>
            </w:pPr>
            <w:r>
              <w:rPr>
                <w:rStyle w:val="row-content-rich-text"/>
              </w:rPr>
              <w:t xml:space="preserve">Calculation G: Number of First Nations regular clients with type 2 diabetes whose HbA1c measurement result, recorded within the previous 12 months, was greater than 8% but less than 10% (greater than 64 mmol/mol but less than 86 mmol/mol).</w:t>
            </w:r>
          </w:p>
          <w:p>
            <w:pPr/>
            <w:r>
              <w:rPr>
                <w:rStyle w:val="row-content-rich-text"/>
              </w:rPr>
              <w:t xml:space="preserve">Calculation H: Number of First Nations regular clients with type 2 diabetes whose HbA1c measurement result, recorded within the previous 12 months, was greater than or equal to 10% (greater than or equal to 86 mmol/mol).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4bbd5ddfc084c3f">
              <w:r>
                <w:rPr>
                  <w:rStyle w:val="Hyperlink"/>
                </w:rPr>
                <w:t xml:space="preserve">Person—diabetes mellitus status, code NN</w:t>
              </w:r>
            </w:hyperlink>
          </w:p>
          <w:p>
            <w:r>
              <w:rPr>
                <w:rStyle w:val="row-content"/>
                <w:b/>
              </w:rPr>
              <w:t xml:space="preserve">Data Source</w:t>
            </w:r>
          </w:p>
          <w:p>
            <w:hyperlink w:history="true" r:id="R33cefcefe0ad422b">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8605610a5d5e43d8">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71f5274a8c0b4988">
              <w:r>
                <w:rPr>
                  <w:rStyle w:val="Hyperlink"/>
                </w:rPr>
                <w:t xml:space="preserve">Person—Indigenous status, code N</w:t>
              </w:r>
            </w:hyperlink>
          </w:p>
          <w:p>
            <w:r>
              <w:rPr>
                <w:rStyle w:val="row-content"/>
                <w:b/>
              </w:rPr>
              <w:t xml:space="preserve">Data Source</w:t>
            </w:r>
          </w:p>
          <w:p>
            <w:hyperlink w:history="true" r:id="Rd3a64abe57874bf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739c611b998a4b01">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First Nations only.</w:t>
            </w:r>
          </w:p>
          <w:p>
            <w:r>
              <w:rPr>
                <w:rStyle w:val="row-content"/>
              </w:rPr>
              <w:t xml:space="preserve"> </w:t>
            </w:r>
          </w:p>
          <w:p>
            <w:r>
              <w:rPr>
                <w:rStyle w:val="row-content"/>
                <w:b/>
                <w:color w:val="000000"/>
              </w:rPr>
              <w:t xml:space="preserve">Data Element / Data Set</w:t>
            </w:r>
          </w:p>
          <w:p>
            <w:hyperlink w:history="true" r:id="R47a5e02d1a404996">
              <w:r>
                <w:rPr>
                  <w:rStyle w:val="Hyperlink"/>
                </w:rPr>
                <w:t xml:space="preserve">Person—regular client indicator, yes/no code N</w:t>
              </w:r>
            </w:hyperlink>
          </w:p>
          <w:p>
            <w:r>
              <w:rPr>
                <w:rStyle w:val="row-content"/>
                <w:b/>
              </w:rPr>
              <w:t xml:space="preserve">Data Source</w:t>
            </w:r>
          </w:p>
          <w:p>
            <w:hyperlink w:history="true" r:id="Rbbb37ce053eb482b">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03eeac731f694afc">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p>
            <w:r>
              <w:rPr>
                <w:rStyle w:val="row-content"/>
                <w:b/>
                <w:color w:val="000000"/>
              </w:rPr>
              <w:t xml:space="preserve">Data Element / Data Set</w:t>
            </w:r>
          </w:p>
          <w:p>
            <w:hyperlink w:history="true" r:id="R91ee30ea7bbe4086">
              <w:r>
                <w:rPr>
                  <w:rStyle w:val="Hyperlink"/>
                </w:rPr>
                <w:t xml:space="preserve">Person—glycated haemoglobin level, code N</w:t>
              </w:r>
            </w:hyperlink>
          </w:p>
          <w:p>
            <w:r>
              <w:rPr>
                <w:rStyle w:val="row-content"/>
                <w:b/>
              </w:rPr>
              <w:t xml:space="preserve">Data Source</w:t>
            </w:r>
          </w:p>
          <w:p>
            <w:hyperlink w:history="true" r:id="R3537d96011404e20">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40e2320957754b00">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Response to this is conditional on responding 'yes' to having had an HbA1c measurement result recorded within either the previous 6 or 12 months.</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2b96482610544eb">
              <w:r>
                <w:rPr>
                  <w:rStyle w:val="Hyperlink"/>
                </w:rPr>
                <w:t xml:space="preserve">Person—age, total years N[NN]</w:t>
              </w:r>
            </w:hyperlink>
          </w:p>
          <w:p>
            <w:r>
              <w:rPr>
                <w:rStyle w:val="row-content"/>
                <w:b/>
              </w:rPr>
              <w:t xml:space="preserve">Data Source</w:t>
            </w:r>
          </w:p>
          <w:p>
            <w:hyperlink w:history="true" r:id="Re9d0e6a961824b1a">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05d97d8f0d2a4f57">
              <w:r>
                <w:rPr>
                  <w:rStyle w:val="Hyperlink"/>
                </w:rPr>
                <w:t xml:space="preserve">Aboriginal and Torres Strait Islander specific primary health care NBEDS December 2023</w:t>
              </w:r>
            </w:hyperlink>
          </w:p>
          <w:p>
            <w:r>
              <w:rPr>
                <w:rStyle w:val="row-content"/>
                <w:b/>
                <w:color w:val="000000"/>
              </w:rPr>
              <w:t xml:space="preserve">Data Element / Data Set</w:t>
            </w:r>
          </w:p>
          <w:p>
            <w:hyperlink w:history="true" r:id="Rc3d7e861a4b24df8">
              <w:r>
                <w:rPr>
                  <w:rStyle w:val="Hyperlink"/>
                </w:rPr>
                <w:t xml:space="preserve">Person—sex, code X</w:t>
              </w:r>
            </w:hyperlink>
          </w:p>
          <w:p>
            <w:r>
              <w:rPr>
                <w:rStyle w:val="row-content"/>
                <w:b/>
              </w:rPr>
              <w:t xml:space="preserve">Data Source</w:t>
            </w:r>
          </w:p>
          <w:p>
            <w:hyperlink w:history="true" r:id="R50d93ad01ac44676">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1a35ff16ae96431e">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Male and female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ff1ef7c2e8c04898">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2c31f65002e4804">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Aged Care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First Nations-specific primary health care organisations or maternal and child health programs/services funded by the Department of Health and Aged Care under its IAHP, referred to as </w:t>
            </w:r>
            <w:hyperlink w:tooltip="Funded organisation refers to a First Nations-specific primary health care organisation or maternal and child health program/service funded by the Department of Health and Aged Care under its Indigenous Australians' Health Programme (IAHP)." w:history="true" r:id="R36b249e315a5400c">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 and Aged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ec3a9064120415a">
              <w:r>
                <w:rPr>
                  <w:rStyle w:val="Hyperlink"/>
                </w:rPr>
                <w:t xml:space="preserve">Indigenous-specific primary health care: PI06a-Number of Indigenous regular clients with type 2 diabetes who have an HbA1c measurement result within a specified level, June 2023</w:t>
              </w:r>
            </w:hyperlink>
          </w:p>
          <w:p>
            <w:pPr>
              <w:spacing w:before="0" w:after="0"/>
            </w:pPr>
            <w:r>
              <w:rPr>
                <w:rStyle w:val="row-content"/>
                <w:color w:val="244061"/>
              </w:rPr>
              <w:t xml:space="preserve">       </w:t>
            </w:r>
            <w:hyperlink w:history="true" r:id="R53e22a24ef6449d1">
              <w:r>
                <w:rPr>
                  <w:rStyle w:val="Hyperlink"/>
                  <w:color w:val="244061"/>
                </w:rPr>
                <w:t xml:space="preserve">Indigenous</w:t>
              </w:r>
            </w:hyperlink>
            <w:r>
              <w:rPr>
                <w:rStyle w:val="row-content"/>
                <w:color w:val="244061"/>
              </w:rPr>
              <w:t xml:space="preserve">, Superseded 25/02/2024</w:t>
            </w:r>
          </w:p>
          <w:p>
            <w:r>
              <w:br/>
            </w:r>
            <w:r>
              <w:rPr>
                <w:rStyle w:val="row-content"/>
              </w:rPr>
              <w:t xml:space="preserve">Has been superseded by </w:t>
            </w:r>
            <w:hyperlink w:history="true" r:id="Re0f8f431364b41b5">
              <w:r>
                <w:rPr>
                  <w:rStyle w:val="Hyperlink"/>
                </w:rPr>
                <w:t xml:space="preserve">First Nations-specific primary health care: PI06a-Number of First Nations regular clients with type 2 diabetes who have an HbA1c measurement result within a specified level, June 2024</w:t>
              </w:r>
            </w:hyperlink>
          </w:p>
          <w:p>
            <w:pPr>
              <w:spacing w:before="0" w:after="0"/>
            </w:pPr>
            <w:r>
              <w:rPr>
                <w:rStyle w:val="row-content"/>
                <w:color w:val="244061"/>
              </w:rPr>
              <w:t xml:space="preserve">       </w:t>
            </w:r>
            <w:hyperlink w:history="true" r:id="R31acb43a5f934871">
              <w:r>
                <w:rPr>
                  <w:rStyle w:val="Hyperlink"/>
                  <w:color w:val="244061"/>
                </w:rPr>
                <w:t xml:space="preserve">Indigenous</w:t>
              </w:r>
            </w:hyperlink>
            <w:r>
              <w:rPr>
                <w:rStyle w:val="row-content"/>
                <w:color w:val="244061"/>
              </w:rPr>
              <w:t xml:space="preserve">, Qualified 17/04/2024</w:t>
            </w:r>
          </w:p>
          <w:p>
            <w:r>
              <w:br/>
            </w:r>
            <w:r>
              <w:rPr>
                <w:rStyle w:val="row-content"/>
              </w:rPr>
              <w:t xml:space="preserve">See also </w:t>
            </w:r>
            <w:hyperlink w:history="true" r:id="R31f55a216306480b">
              <w:r>
                <w:rPr>
                  <w:rStyle w:val="Hyperlink"/>
                </w:rPr>
                <w:t xml:space="preserve">First Nations-specific primary health care: PI06b-Proportion of First Nations regular clients with type 2 diabetes who have an HbA1c measurement result within a specified level, December 2023</w:t>
              </w:r>
            </w:hyperlink>
          </w:p>
          <w:p>
            <w:pPr>
              <w:spacing w:before="0" w:after="0"/>
            </w:pPr>
            <w:r>
              <w:rPr>
                <w:rStyle w:val="row-content"/>
                <w:color w:val="244061"/>
              </w:rPr>
              <w:t xml:space="preserve">       </w:t>
            </w:r>
            <w:hyperlink w:history="true" r:id="R898e6d9b921340d8">
              <w:r>
                <w:rPr>
                  <w:rStyle w:val="Hyperlink"/>
                  <w:color w:val="244061"/>
                </w:rPr>
                <w:t xml:space="preserve">Indigenous</w:t>
              </w:r>
            </w:hyperlink>
            <w:r>
              <w:rPr>
                <w:rStyle w:val="row-content"/>
                <w:color w:val="244061"/>
              </w:rPr>
              <w:t xml:space="preserve">, Standard 25/02/2024</w:t>
            </w:r>
          </w:p>
          <w:p>
            <w:r>
              <w:br/>
            </w:r>
          </w:p>
        </w:tc>
      </w:tr>
    </w:tbl>
    <w:p>
      <w:r>
        <w:br/>
      </w:r>
    </w:p>
    <w:sectPr>
      <w:footerReference xmlns:r="http://schemas.openxmlformats.org/officeDocument/2006/relationships" w:type="default" r:id="R84b189a43b3a48b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787955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0e9ff793c30443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4b189a43b3a48b6" /><Relationship Type="http://schemas.openxmlformats.org/officeDocument/2006/relationships/header" Target="/word/header1.xml" Id="Rf098c2bf32664fdc" /><Relationship Type="http://schemas.openxmlformats.org/officeDocument/2006/relationships/settings" Target="/word/settings.xml" Id="R4123b446ff1d4276" /><Relationship Type="http://schemas.openxmlformats.org/officeDocument/2006/relationships/styles" Target="/word/styles.xml" Id="R71038424f65c4471" /><Relationship Type="http://schemas.openxmlformats.org/officeDocument/2006/relationships/hyperlink" Target="https://meteor.aihw.gov.au/RegistrationAuthority/6" TargetMode="External" Id="Rf5aba2720c6d4fd6" /><Relationship Type="http://schemas.openxmlformats.org/officeDocument/2006/relationships/hyperlink" Target="https://meteor.aihw.gov.au/content/788128" TargetMode="External" Id="Rac6848034fee4e19" /><Relationship Type="http://schemas.openxmlformats.org/officeDocument/2006/relationships/numbering" Target="/word/numbering.xml" Id="R9f033490e3fe43ba" /><Relationship Type="http://schemas.openxmlformats.org/officeDocument/2006/relationships/hyperlink" Target="https://meteor.aihw.gov.au/content/787918" TargetMode="External" Id="Rb1b273222a284cbf" /><Relationship Type="http://schemas.openxmlformats.org/officeDocument/2006/relationships/hyperlink" Target="https://meteor.aihw.gov.au/RegistrationAuthority/6" TargetMode="External" Id="R7ed6884f85b14397" /><Relationship Type="http://schemas.openxmlformats.org/officeDocument/2006/relationships/hyperlink" Target="https://meteor.aihw.gov.au/content/270194" TargetMode="External" Id="R14bbd5ddfc084c3f" /><Relationship Type="http://schemas.openxmlformats.org/officeDocument/2006/relationships/hyperlink" Target="https://meteor.aihw.gov.au/content/737914" TargetMode="External" Id="R33cefcefe0ad422b" /><Relationship Type="http://schemas.openxmlformats.org/officeDocument/2006/relationships/hyperlink" Target="https://meteor.aihw.gov.au/content/787920" TargetMode="External" Id="R8605610a5d5e43d8" /><Relationship Type="http://schemas.openxmlformats.org/officeDocument/2006/relationships/hyperlink" Target="https://meteor.aihw.gov.au/content/602543" TargetMode="External" Id="R71f5274a8c0b4988" /><Relationship Type="http://schemas.openxmlformats.org/officeDocument/2006/relationships/hyperlink" Target="https://meteor.aihw.gov.au/content/737914" TargetMode="External" Id="Rd3a64abe57874bf7" /><Relationship Type="http://schemas.openxmlformats.org/officeDocument/2006/relationships/hyperlink" Target="https://meteor.aihw.gov.au/content/787920" TargetMode="External" Id="R739c611b998a4b01" /><Relationship Type="http://schemas.openxmlformats.org/officeDocument/2006/relationships/hyperlink" Target="https://meteor.aihw.gov.au/content/777814" TargetMode="External" Id="R47a5e02d1a404996" /><Relationship Type="http://schemas.openxmlformats.org/officeDocument/2006/relationships/hyperlink" Target="https://meteor.aihw.gov.au/content/737914" TargetMode="External" Id="Rbbb37ce053eb482b" /><Relationship Type="http://schemas.openxmlformats.org/officeDocument/2006/relationships/hyperlink" Target="https://meteor.aihw.gov.au/content/787920" TargetMode="External" Id="R03eeac731f694afc" /><Relationship Type="http://schemas.openxmlformats.org/officeDocument/2006/relationships/hyperlink" Target="https://meteor.aihw.gov.au/content/785962" TargetMode="External" Id="R91ee30ea7bbe4086" /><Relationship Type="http://schemas.openxmlformats.org/officeDocument/2006/relationships/hyperlink" Target="https://meteor.aihw.gov.au/content/737914" TargetMode="External" Id="R3537d96011404e20" /><Relationship Type="http://schemas.openxmlformats.org/officeDocument/2006/relationships/hyperlink" Target="https://meteor.aihw.gov.au/content/787920" TargetMode="External" Id="R40e2320957754b00" /><Relationship Type="http://schemas.openxmlformats.org/officeDocument/2006/relationships/hyperlink" Target="https://meteor.aihw.gov.au/content/303794" TargetMode="External" Id="R12b96482610544eb" /><Relationship Type="http://schemas.openxmlformats.org/officeDocument/2006/relationships/hyperlink" Target="https://meteor.aihw.gov.au/content/737914" TargetMode="External" Id="Re9d0e6a961824b1a" /><Relationship Type="http://schemas.openxmlformats.org/officeDocument/2006/relationships/hyperlink" Target="https://meteor.aihw.gov.au/content/787920" TargetMode="External" Id="R05d97d8f0d2a4f57" /><Relationship Type="http://schemas.openxmlformats.org/officeDocument/2006/relationships/hyperlink" Target="https://meteor.aihw.gov.au/content/741686" TargetMode="External" Id="Rc3d7e861a4b24df8" /><Relationship Type="http://schemas.openxmlformats.org/officeDocument/2006/relationships/hyperlink" Target="https://meteor.aihw.gov.au/content/737914" TargetMode="External" Id="R50d93ad01ac44676" /><Relationship Type="http://schemas.openxmlformats.org/officeDocument/2006/relationships/hyperlink" Target="https://meteor.aihw.gov.au/content/787920" TargetMode="External" Id="R1a35ff16ae96431e" /><Relationship Type="http://schemas.openxmlformats.org/officeDocument/2006/relationships/hyperlink" Target="https://meteor.aihw.gov.au/content/410681" TargetMode="External" Id="Rff1ef7c2e8c04898" /><Relationship Type="http://schemas.openxmlformats.org/officeDocument/2006/relationships/hyperlink" Target="https://meteor.aihw.gov.au/content/737914" TargetMode="External" Id="R72c31f65002e4804" /><Relationship Type="http://schemas.openxmlformats.org/officeDocument/2006/relationships/hyperlink" Target="https://meteor.aihw.gov.au/content/787038" TargetMode="External" Id="R36b249e315a5400c" /><Relationship Type="http://schemas.openxmlformats.org/officeDocument/2006/relationships/hyperlink" Target="https://meteor.aihw.gov.au/content/782653" TargetMode="External" Id="R8ec3a9064120415a" /><Relationship Type="http://schemas.openxmlformats.org/officeDocument/2006/relationships/hyperlink" Target="https://meteor.aihw.gov.au/RegistrationAuthority/6" TargetMode="External" Id="R53e22a24ef6449d1" /><Relationship Type="http://schemas.openxmlformats.org/officeDocument/2006/relationships/hyperlink" Target="https://meteor.aihw.gov.au/content/789177" TargetMode="External" Id="Re0f8f431364b41b5" /><Relationship Type="http://schemas.openxmlformats.org/officeDocument/2006/relationships/hyperlink" Target="https://meteor.aihw.gov.au/RegistrationAuthority/6" TargetMode="External" Id="R31acb43a5f934871" /><Relationship Type="http://schemas.openxmlformats.org/officeDocument/2006/relationships/hyperlink" Target="https://meteor.aihw.gov.au/content/787957" TargetMode="External" Id="R31f55a216306480b" /><Relationship Type="http://schemas.openxmlformats.org/officeDocument/2006/relationships/hyperlink" Target="https://meteor.aihw.gov.au/RegistrationAuthority/6" TargetMode="External" Id="R898e6d9b921340d8" /></Relationships>
</file>

<file path=word/_rels/header1.xml.rels>&#65279;<?xml version="1.0" encoding="utf-8"?><Relationships xmlns="http://schemas.openxmlformats.org/package/2006/relationships"><Relationship Type="http://schemas.openxmlformats.org/officeDocument/2006/relationships/image" Target="/media/image.png" Id="R70e9ff793c304434" /></Relationships>
</file>