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fadf63a1f04903"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119cc232244fb">
              <w:r>
                <w:rPr>
                  <w:rStyle w:val="Hyperlink"/>
                  <w:color w:val="244061"/>
                </w:rPr>
                <w:t xml:space="preserve">AIHW Data Quality Statements</w:t>
              </w:r>
            </w:hyperlink>
            <w:r>
              <w:rPr>
                <w:rStyle w:val="row-content"/>
                <w:color w:val="244061"/>
              </w:rPr>
              <w:t xml:space="preserve">, Standard 18/04/2024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2023. Financial information is for the year ending 30 June 2023.</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d3914bcb0f1474f">
              <w:r>
                <w:rPr>
                  <w:rStyle w:val="Hyperlink"/>
                  <w:i/>
                </w:rPr>
                <w:t xml:space="preserve">Australian Institute of Health and Welfare Act 1987</w:t>
              </w:r>
            </w:hyperlink>
            <w:r>
              <w:rPr>
                <w:rStyle w:val="row-content-rich-text"/>
              </w:rPr>
              <w:t xml:space="preserve"> (AIHW Act), governed by a </w:t>
            </w:r>
            <w:hyperlink w:history="true" r:id="Rc175e390be8d43d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a396b7a338694d3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08be49a8a784116">
              <w:r>
                <w:rPr>
                  <w:rStyle w:val="Hyperlink"/>
                </w:rPr>
                <w:t xml:space="preserve">AIHW website</w:t>
              </w:r>
            </w:hyperlink>
            <w:r>
              <w:rPr>
                <w:rStyle w:val="row-content-rich-text"/>
              </w:rPr>
              <w:t xml:space="preserve">, which includes details about the AIHW's </w:t>
            </w:r>
            <w:hyperlink w:history="true" r:id="R4e572b1082da4e59">
              <w:r>
                <w:rPr>
                  <w:rStyle w:val="Hyperlink"/>
                </w:rPr>
                <w:t xml:space="preserve">governance</w:t>
              </w:r>
            </w:hyperlink>
            <w:r>
              <w:rPr>
                <w:rStyle w:val="row-content-rich-text"/>
              </w:rPr>
              <w:t xml:space="preserve"> and </w:t>
            </w:r>
            <w:hyperlink w:history="true" r:id="R8e5db08029894afb">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2022–23 financial year and is mostly a 30 June 2023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343047bf78674930">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8e3c04b8ed3d4dab">
              <w:r>
                <w:rPr>
                  <w:rStyle w:val="Hyperlink"/>
                </w:rPr>
                <w:t xml:space="preserve">data request system</w:t>
              </w:r>
            </w:hyperlink>
            <w:r>
              <w:rPr>
                <w:rStyle w:val="row-content-rich-text"/>
              </w:rPr>
              <w:t xml:space="preserve">. Depending on the nature of the request, access to unpublished data may also incur costs or require approval from the </w:t>
            </w:r>
            <w:hyperlink w:history="true" r:id="Rc0d58495b572405d">
              <w:r>
                <w:rPr>
                  <w:rStyle w:val="Hyperlink"/>
                </w:rPr>
                <w:t xml:space="preserve">AIHW Ethics Committee</w:t>
              </w:r>
            </w:hyperlink>
            <w:r>
              <w:rPr>
                <w:rStyle w:val="row-content-rich-text"/>
              </w:rPr>
              <w:t xml:space="preserve">.</w:t>
            </w:r>
          </w:p>
          <w:p>
            <w:pPr/>
            <w:r>
              <w:rPr>
                <w:rStyle w:val="row-content-rich-text"/>
              </w:rPr>
              <w:t xml:space="preserve">General enquiries about AIHW publications can be made to </w:t>
            </w:r>
            <w:hyperlink w:history="true" r:id="Rb1b08bba03cb42a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5fad26e1217e4fdf">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5913894392f845e3">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except for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some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 – 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expenses incurred on the dwellings they own are under-reported by ICHOs. Furthermore, ICHOs manage a large number of state-owned dwellings on which depreciation is incurred by the responsible government agency, rather than the managing ICHO. These depreciation expenses are included in ‘total recurrent costs’ despite not being incurred directly by the relevant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From 2018–19, Western Australia has been unable to distinguish between net and recurrent costs.</w:t>
            </w:r>
          </w:p>
          <w:p>
            <w:pPr>
              <w:spacing w:after="160"/>
            </w:pPr>
            <w:r>
              <w:rPr>
                <w:rStyle w:val="row-content-rich-text"/>
                <w:b/>
              </w:rPr>
              <w:t xml:space="preserve">Tasmania</w:t>
            </w:r>
          </w:p>
          <w:p>
            <w:pPr>
              <w:pStyle w:val="ListParagraph"/>
              <w:numPr>
                <w:ilvl w:val="0"/>
                <w:numId w:val="7"/>
              </w:numPr>
            </w:pPr>
            <w:r>
              <w:rPr>
                <w:rStyle w:val="row-content-rich-text"/>
              </w:rPr>
              <w:t xml:space="preserve">Some 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Person level information is incomplete for both ICHOs.</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The Northern Territory only contributes funds to permanently occupied dwellings in remote homelands and town camps that are not leased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 – in regard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with previous years.</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In 2016–17, New South Wales, for the first time, included 207 ICH dwellings that are managed by mainstream community housing providers. These properties were not previously reported under any other social housing program. Thus, caution is advised when comparing data from 2016–17 onwards with that of previous years.</w:t>
            </w:r>
          </w:p>
          <w:p>
            <w:pPr>
              <w:pStyle w:val="ListParagraph"/>
              <w:numPr>
                <w:ilvl w:val="0"/>
                <w:numId w:val="9"/>
              </w:numPr>
            </w:pPr>
            <w:r>
              <w:rPr>
                <w:rStyle w:val="row-content-rich-text"/>
              </w:rPr>
              <w:t xml:space="preserve">Unit record information at the household level was reported from 2018–19.</w:t>
            </w:r>
          </w:p>
          <w:p>
            <w:pPr>
              <w:pStyle w:val="ListParagraph"/>
              <w:numPr>
                <w:ilvl w:val="0"/>
                <w:numId w:val="9"/>
              </w:numPr>
            </w:pPr>
            <w:r>
              <w:rPr>
                <w:rStyle w:val="row-content-rich-text"/>
              </w:rPr>
              <w:t xml:space="preserve">Financial data from 21 ICHOs, representing 15% of dwellings managed by funded organisations are not included, Therefore, rents collected/charged and total/net recurrent costs for the year ending 30 June 2021 are an under-representation.</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were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w:t>
            </w:r>
          </w:p>
          <w:p>
            <w:pPr>
              <w:pStyle w:val="ListParagraph"/>
              <w:numPr>
                <w:ilvl w:val="0"/>
                <w:numId w:val="11"/>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1"/>
              </w:numPr>
            </w:pPr>
            <w:r>
              <w:rPr>
                <w:rStyle w:val="row-content-rich-text"/>
              </w:rPr>
              <w:t xml:space="preserve">In 2018–19, there was an increase in reporting of households from a small number of ICHOs. This reflects an increase in coverage and therefore an increase in quality, but it is still unclear how complete household data are.</w:t>
            </w:r>
          </w:p>
          <w:p>
            <w:pPr>
              <w:pStyle w:val="ListParagraph"/>
              <w:numPr>
                <w:ilvl w:val="0"/>
                <w:numId w:val="11"/>
              </w:numPr>
            </w:pPr>
            <w:r>
              <w:rPr>
                <w:rStyle w:val="row-content-rich-text"/>
              </w:rPr>
              <w:t xml:space="preserve">In 2019–20, 2020–21 and 2021–22, there was a decrease in reporting from ICHOs and subsequently a decrease in coverage.</w:t>
            </w:r>
          </w:p>
          <w:p>
            <w:pPr>
              <w:pStyle w:val="ListParagraph"/>
              <w:numPr>
                <w:ilvl w:val="0"/>
                <w:numId w:val="11"/>
              </w:numPr>
            </w:pPr>
            <w:r>
              <w:rPr>
                <w:rStyle w:val="row-content-rich-text"/>
              </w:rPr>
              <w:t xml:space="preserve">Due to tenancy data quality issues, historically, partial information is known when calculating overcrowding. Thus, care is advised when using and comparing overcrowding results.</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pStyle w:val="ListParagraph"/>
              <w:numPr>
                <w:ilvl w:val="0"/>
                <w:numId w:val="12"/>
              </w:numPr>
            </w:pPr>
            <w:r>
              <w:rPr>
                <w:rStyle w:val="row-content-rich-text"/>
              </w:rPr>
              <w:t xml:space="preserve">For 2022–23, maintenance costs increased due to inclusion of expenditure under the Social Housing Economic Recovery Package. This program commenced June 2020 but was not included in previous years.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were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3"/>
              </w:numPr>
            </w:pPr>
            <w:r>
              <w:rPr>
                <w:rStyle w:val="row-content-rich-text"/>
              </w:rPr>
              <w:t xml:space="preserve">From 2022–23, reporting on estimated counts of permanent dwellings not managed by the state housing authority ceased.</w:t>
            </w:r>
          </w:p>
          <w:p>
            <w:pPr>
              <w:pStyle w:val="ListParagraph"/>
              <w:numPr>
                <w:ilvl w:val="0"/>
                <w:numId w:val="13"/>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3"/>
              </w:numPr>
            </w:pPr>
            <w:r>
              <w:rPr>
                <w:rStyle w:val="row-content-rich-text"/>
              </w:rPr>
              <w:t xml:space="preserve">Approximately 24 dwellings previously reported were excluded from the collection from 2018–19. They are out of scope and incorrectly included in previous years.</w:t>
            </w:r>
          </w:p>
          <w:p>
            <w:pPr>
              <w:pStyle w:val="ListParagraph"/>
              <w:numPr>
                <w:ilvl w:val="0"/>
                <w:numId w:val="13"/>
              </w:numPr>
            </w:pPr>
            <w:r>
              <w:rPr>
                <w:rStyle w:val="row-content-rich-text"/>
              </w:rPr>
              <w:t xml:space="preserve">During the state's Major Emergency Declaration (from March 2020 to May 2022), SA Housing Authority (SAHA) staff were unable to visit remote Aboriginal areas for periods of time due to COVID-19 restrictions. Therefore, tenancy audits were not undertaken in 2019–20 or 2020–21. This may have affected data quality.</w:t>
            </w:r>
          </w:p>
          <w:p>
            <w:pPr>
              <w:spacing w:after="160"/>
            </w:pPr>
            <w:r>
              <w:rPr>
                <w:rStyle w:val="row-content-rich-text"/>
                <w:b/>
              </w:rPr>
              <w:t xml:space="preserve">Tasmania</w:t>
            </w:r>
          </w:p>
          <w:p>
            <w:pPr>
              <w:pStyle w:val="ListParagraph"/>
              <w:numPr>
                <w:ilvl w:val="0"/>
                <w:numId w:val="14"/>
              </w:numPr>
            </w:pPr>
            <w:r>
              <w:rPr>
                <w:rStyle w:val="row-content-rich-text"/>
              </w:rPr>
              <w:t xml:space="preserve">A new arrears policy was implemented in 2012–13. This has contributed to improvements in data quality for rent since 2013–14.</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p>
          <w:p>
            <w:pPr>
              <w:pStyle w:val="ListParagraph"/>
              <w:numPr>
                <w:ilvl w:val="0"/>
                <w:numId w:val="14"/>
              </w:numPr>
            </w:pPr>
            <w:r>
              <w:rPr>
                <w:rStyle w:val="row-content-rich-text"/>
              </w:rPr>
              <w:t xml:space="preserve">Due to data quality issues, household data are not comparable from 2014–15 onwards with previous years.</w:t>
            </w:r>
          </w:p>
          <w:p>
            <w:pPr>
              <w:pStyle w:val="ListParagraph"/>
              <w:numPr>
                <w:ilvl w:val="0"/>
                <w:numId w:val="14"/>
              </w:numPr>
            </w:pPr>
            <w:r>
              <w:rPr>
                <w:rStyle w:val="row-content-rich-text"/>
              </w:rPr>
              <w:t xml:space="preserve">Improved data submissions from ICHOs from 2016–17 onwards resulted in increases in rent collected and charged from tenants, compared with 2015–16.</w:t>
            </w:r>
          </w:p>
          <w:p>
            <w:pPr>
              <w:pStyle w:val="ListParagraph"/>
              <w:numPr>
                <w:ilvl w:val="0"/>
                <w:numId w:val="14"/>
              </w:numPr>
            </w:pPr>
            <w:r>
              <w:rPr>
                <w:rStyle w:val="row-content-rich-text"/>
              </w:rPr>
              <w:t xml:space="preserve">In 2017–18, one ICHO provided capital expenditure while the other did not. Care is advised when comparing capital expenditure with that of other years.</w:t>
            </w:r>
          </w:p>
          <w:p>
            <w:pPr>
              <w:pStyle w:val="ListParagraph"/>
              <w:numPr>
                <w:ilvl w:val="0"/>
                <w:numId w:val="14"/>
              </w:numPr>
            </w:pPr>
            <w:r>
              <w:rPr>
                <w:rStyle w:val="row-content-rich-text"/>
              </w:rPr>
              <w:t xml:space="preserve">In years prior to 2018–19, one ICHO included depreciation in the calculation of net expenditure while the other did not.</w:t>
            </w:r>
          </w:p>
          <w:p>
            <w:pPr>
              <w:pStyle w:val="ListParagraph"/>
              <w:numPr>
                <w:ilvl w:val="0"/>
                <w:numId w:val="14"/>
              </w:numPr>
            </w:pPr>
            <w:r>
              <w:rPr>
                <w:rStyle w:val="row-content-rich-text"/>
              </w:rPr>
              <w:t xml:space="preserve">From 2018–19 to 2020–21, person level information is missing for one ICHO and incomplete for the other ICHO. From 2021–22, person level information is incomplete for both ICHOs.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5"/>
              </w:numPr>
            </w:pPr>
            <w:r>
              <w:rPr>
                <w:rStyle w:val="row-content-rich-text"/>
              </w:rPr>
              <w:t xml:space="preserve">From 2014–15, the data relates to annual grant funding provided to ICHOs by the Northern Territory Government for the delivery of housing maintenance services to permanently occupied communally-owned dwellings in remote homelands, and also in town camps that are not leased for public housing. Only habitable houses are eligible for funding; improvised dwellings do not receive funding. In 2013–14, the count of permanently occupied dwellings included improvised dwellings, thus, caution is advised when comparing data from 2014–15 onwards with that of previous years.</w:t>
            </w:r>
          </w:p>
          <w:p>
            <w:pPr>
              <w:pStyle w:val="ListParagraph"/>
              <w:numPr>
                <w:ilvl w:val="0"/>
                <w:numId w:val="15"/>
              </w:numPr>
            </w:pPr>
            <w:r>
              <w:rPr>
                <w:rStyle w:val="row-content-rich-text"/>
              </w:rPr>
              <w:t xml:space="preserve">Northern Territory Government funding is not provided to ICHOs for tenancy management services, as residents in these communities are responsible for the management of their own dwellings.</w:t>
            </w:r>
          </w:p>
          <w:p>
            <w:pPr>
              <w:pStyle w:val="ListParagraph"/>
              <w:numPr>
                <w:ilvl w:val="0"/>
                <w:numId w:val="15"/>
              </w:numPr>
            </w:pPr>
            <w:r>
              <w:rPr>
                <w:rStyle w:val="row-content-rich-text"/>
              </w:rPr>
              <w:t xml:space="preserve">In the Northern Territory, rent is not charged. These dwellings are communally owned and not under ICHO, government or private ownership, and as such are not covered by tenancy legislation, tenancy agreements or requirements for the residents to pay rent or service levies. ICHOs may ask for a voluntary service delivery contribution (previously reported as rent collected) but have no jurisdiction to charge rent. From 2020–21, the voluntary service delivery contribution is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d595bf403543f0">
              <w:r>
                <w:rPr>
                  <w:rStyle w:val="Hyperlink"/>
                </w:rPr>
                <w:t xml:space="preserve">Indigenous Community Housing Collection, 2021–22; Quality Statement</w:t>
              </w:r>
            </w:hyperlink>
          </w:p>
          <w:p>
            <w:pPr>
              <w:pStyle w:val="registration-status"/>
              <w:spacing w:before="0" w:after="0"/>
            </w:pPr>
            <w:hyperlink w:history="true" r:id="Rb88707a4690045ea">
              <w:r>
                <w:rPr>
                  <w:rStyle w:val="Hyperlink"/>
                  <w:color w:val="244061"/>
                </w:rPr>
                <w:t xml:space="preserve">AIHW Data Quality Statements</w:t>
              </w:r>
            </w:hyperlink>
            <w:r>
              <w:rPr>
                <w:rStyle w:val="row-content"/>
                <w:color w:val="244061"/>
              </w:rPr>
              <w:t xml:space="preserve">, Superseded 18/04/2024</w:t>
            </w:r>
          </w:p>
          <w:p>
            <w:r>
              <w:br/>
            </w:r>
            <w:r>
              <w:rPr>
                <w:rStyle w:val="row-content"/>
              </w:rPr>
              <w:t xml:space="preserve">See also </w:t>
            </w:r>
            <w:hyperlink w:history="true" r:id="R1d6cc6cbc2614fc6">
              <w:r>
                <w:rPr>
                  <w:rStyle w:val="Hyperlink"/>
                </w:rPr>
                <w:t xml:space="preserve">Indigenous Community Housing DSS 2018-</w:t>
              </w:r>
            </w:hyperlink>
          </w:p>
          <w:p>
            <w:pPr>
              <w:pStyle w:val="registration-status"/>
              <w:spacing w:before="0" w:after="0"/>
            </w:pPr>
            <w:hyperlink w:history="true" r:id="R9b3c68d182944b79">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497bf78daa38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787682</w:t>
    </w:r>
    <w:r>
      <w:ptab w:alignment="right" w:relativeTo="margin" w:leader="none"/>
    </w:r>
    <w:r>
      <w:t xml:space="preserve">Page </w:t>
    </w:r>
    <w:fldSimple w:instr="PAGE"/>
    <w:r>
      <w:t xml:space="preserve"> of </w:t>
    </w:r>
    <w:fldSimple w:instr="NUMPAGES"/>
    <w:r>
      <w:ptab w:alignment="left" w:relativeTo="margin" w:leader="none"/>
    </w:r>
    <w:r>
      <w:t>Downloaded 06-Jun-2024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1abb2e0df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bf78daa384aaa" /><Relationship Type="http://schemas.openxmlformats.org/officeDocument/2006/relationships/header" Target="/word/header1.xml" Id="R547451b253ab4a54" /><Relationship Type="http://schemas.openxmlformats.org/officeDocument/2006/relationships/settings" Target="/word/settings.xml" Id="Rb489fe180d284655" /><Relationship Type="http://schemas.openxmlformats.org/officeDocument/2006/relationships/styles" Target="/word/styles.xml" Id="R55ef52f3d3944f1c" /><Relationship Type="http://schemas.openxmlformats.org/officeDocument/2006/relationships/numbering" Target="/word/numbering.xml" Id="R70dd80f272034bbf" /><Relationship Type="http://schemas.openxmlformats.org/officeDocument/2006/relationships/hyperlink" Target="https://meteor.aihw.gov.au/RegistrationAuthority/5" TargetMode="External" Id="R4f2119cc232244fb" /><Relationship Type="http://schemas.openxmlformats.org/officeDocument/2006/relationships/hyperlink" Target="https://www.legislation.gov.au/Series/C2004A03450" TargetMode="External" Id="R1d3914bcb0f1474f" /><Relationship Type="http://schemas.openxmlformats.org/officeDocument/2006/relationships/hyperlink" Target="https://www.aihw.gov.au/about-us/our-governance" TargetMode="External" Id="Rc175e390be8d43d8" /><Relationship Type="http://schemas.openxmlformats.org/officeDocument/2006/relationships/hyperlink" Target="https://www.legislation.gov.au/Series/C2004A03712" TargetMode="External" Id="Ra396b7a338694d3f" /><Relationship Type="http://schemas.openxmlformats.org/officeDocument/2006/relationships/hyperlink" Target="https://www.aihw.gov.au/about-us" TargetMode="External" Id="R608be49a8a784116" /><Relationship Type="http://schemas.openxmlformats.org/officeDocument/2006/relationships/hyperlink" Target="https://www.aihw.gov.au/about-us/our-governance" TargetMode="External" Id="R4e572b1082da4e59" /><Relationship Type="http://schemas.openxmlformats.org/officeDocument/2006/relationships/hyperlink" Target="https://www.aihw.gov.au/about-us/our-vision-and-strategic-goals" TargetMode="External" Id="R8e5db08029894afb" /><Relationship Type="http://schemas.openxmlformats.org/officeDocument/2006/relationships/hyperlink" Target="https://www.aihw.gov.au/reports-data/health-welfare-services/housing-assistance/overview" TargetMode="External" Id="R343047bf78674930" /><Relationship Type="http://schemas.openxmlformats.org/officeDocument/2006/relationships/hyperlink" Target="https://www.aihw.gov.au/our-services/data-on-request" TargetMode="External" Id="R8e3c04b8ed3d4dab" /><Relationship Type="http://schemas.openxmlformats.org/officeDocument/2006/relationships/hyperlink" Target="https://www.aihw.gov.au/about-us/committees/aihw-ethics-committee" TargetMode="External" Id="Rc0d58495b572405d" /><Relationship Type="http://schemas.openxmlformats.org/officeDocument/2006/relationships/hyperlink" Target="mailto:info@aihw.gov.au" TargetMode="External" Id="Rb1b08bba03cb42a7" /><Relationship Type="http://schemas.openxmlformats.org/officeDocument/2006/relationships/hyperlink" Target="https://meteor.aihw.gov.au/content/711226" TargetMode="External" Id="R5fad26e1217e4fdf" /><Relationship Type="http://schemas.openxmlformats.org/officeDocument/2006/relationships/hyperlink" Target="mailto:housing@aihw.gov.au" TargetMode="External" Id="R5913894392f845e3" /><Relationship Type="http://schemas.openxmlformats.org/officeDocument/2006/relationships/hyperlink" Target="https://meteor.aihw.gov.au/content/762183" TargetMode="External" Id="R9bd595bf403543f0" /><Relationship Type="http://schemas.openxmlformats.org/officeDocument/2006/relationships/hyperlink" Target="https://meteor.aihw.gov.au/RegistrationAuthority/5" TargetMode="External" Id="Rb88707a4690045ea" /><Relationship Type="http://schemas.openxmlformats.org/officeDocument/2006/relationships/hyperlink" Target="https://meteor.aihw.gov.au/content/711226" TargetMode="External" Id="R1d6cc6cbc2614fc6" /><Relationship Type="http://schemas.openxmlformats.org/officeDocument/2006/relationships/hyperlink" Target="https://meteor.aihw.gov.au/RegistrationAuthority/11" TargetMode="External" Id="R9b3c68d182944b79" /></Relationships>
</file>

<file path=word/_rels/header1.xml.rels>&#65279;<?xml version="1.0" encoding="utf-8"?><Relationships xmlns="http://schemas.openxmlformats.org/package/2006/relationships"><Relationship Type="http://schemas.openxmlformats.org/officeDocument/2006/relationships/image" Target="/media/image.png" Id="Re8c1abb2e0df4181" /></Relationships>
</file>