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8ec586a5843d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29301637d47d8">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17879a423c44bd">
              <w:r>
                <w:rPr>
                  <w:rStyle w:val="Hyperlink"/>
                </w:rPr>
                <w:t xml:space="preserve">Australian Health Performance Framework, 2024</w:t>
              </w:r>
            </w:hyperlink>
          </w:p>
          <w:p>
            <w:pPr>
              <w:spacing w:before="0" w:after="0"/>
            </w:pPr>
            <w:r>
              <w:rPr>
                <w:rStyle w:val="row-content"/>
                <w:color w:val="244061"/>
              </w:rPr>
              <w:t xml:space="preserve">       </w:t>
            </w:r>
            <w:hyperlink w:history="true" r:id="Rf109b00dffe14e0a">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Coronavirus disease of 2019 (COVID-19) (U07.1, U07.2)</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3d0556adb2c4c6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7f451a1ec041492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5b686379f3c4b02">
              <w:r>
                <w:rPr>
                  <w:rStyle w:val="Hyperlink"/>
                </w:rPr>
                <w:t xml:space="preserve">Person—estimated resident population of Australia, total people N[N(7)]</w:t>
              </w:r>
            </w:hyperlink>
          </w:p>
          <w:p>
            <w:r>
              <w:rPr>
                <w:rStyle w:val="row-content"/>
                <w:b/>
              </w:rPr>
              <w:t xml:space="preserve">Data Source</w:t>
            </w:r>
          </w:p>
          <w:p>
            <w:hyperlink w:history="true" r:id="R25623873b80a4b08">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2021—Nationally, by underlying cause of death and sex.</w:t>
            </w:r>
          </w:p>
          <w:p>
            <w:pPr>
              <w:spacing w:after="160"/>
            </w:pPr>
            <w:r>
              <w:rPr>
                <w:rStyle w:val="row-content-rich-text"/>
              </w:rPr>
              <w:t xml:space="preserve">2008 to 2021—State and territory, by underlying cause of death and sex.</w:t>
            </w:r>
          </w:p>
          <w:p>
            <w:pPr>
              <w:spacing w:after="160"/>
            </w:pPr>
            <w:r>
              <w:rPr>
                <w:rStyle w:val="row-content-rich-text"/>
              </w:rPr>
              <w:t xml:space="preserve">2017 to 2021—Primary Health Network (PHN) by underlying cause of death and sex.</w:t>
            </w:r>
          </w:p>
          <w:p>
            <w:pPr>
              <w:spacing w:after="160"/>
            </w:pPr>
            <w:r>
              <w:rPr>
                <w:rStyle w:val="row-content-rich-text"/>
              </w:rPr>
              <w:t xml:space="preserve">2017–2021 aggregated—Nationally, by Indigenous status, and underlying cause of death.</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54864de75eb84d5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c290d4b04a4206">
              <w:r>
                <w:rPr>
                  <w:rStyle w:val="Hyperlink"/>
                </w:rPr>
                <w:t xml:space="preserve">Person—Indigenous status, code N</w:t>
              </w:r>
            </w:hyperlink>
          </w:p>
          <w:p>
            <w:r>
              <w:rPr>
                <w:rStyle w:val="row-content"/>
                <w:b/>
              </w:rPr>
              <w:t xml:space="preserve">Data Source</w:t>
            </w:r>
          </w:p>
          <w:p>
            <w:hyperlink w:history="true" r:id="R078eaa761d8e4cc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78df1ad6d24bd8">
              <w:r>
                <w:rPr>
                  <w:rStyle w:val="Hyperlink"/>
                </w:rPr>
                <w:t xml:space="preserve">Person—sex, code X</w:t>
              </w:r>
            </w:hyperlink>
          </w:p>
          <w:p>
            <w:r>
              <w:rPr>
                <w:rStyle w:val="row-content"/>
                <w:b/>
              </w:rPr>
              <w:t xml:space="preserve">Data Source</w:t>
            </w:r>
          </w:p>
          <w:p>
            <w:hyperlink w:history="true" r:id="Rd86f6bdc18524c5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c606f0b08b4cd0">
              <w:r>
                <w:rPr>
                  <w:rStyle w:val="Hyperlink"/>
                </w:rPr>
                <w:t xml:space="preserve">Person—area of usual residence, statistical area level 2 (SA2) code (ASGS Edition 3) N(9)</w:t>
              </w:r>
            </w:hyperlink>
          </w:p>
          <w:p>
            <w:r>
              <w:rPr>
                <w:rStyle w:val="row-content"/>
                <w:b/>
              </w:rPr>
              <w:t xml:space="preserve">Data Source</w:t>
            </w:r>
          </w:p>
          <w:p>
            <w:hyperlink w:history="true" r:id="R527667dcec504b0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w:t>
            </w:r>
          </w:p>
          <w:p>
            <w:pPr>
              <w:pStyle w:val="ListParagraph"/>
              <w:numPr>
                <w:ilvl w:val="0"/>
                <w:numId w:val="3"/>
              </w:numPr>
            </w:pPr>
            <w:r>
              <w:rPr>
                <w:rStyle w:val="row-content-rich-text"/>
              </w:rPr>
              <w:t xml:space="preserve">2021</w:t>
            </w:r>
          </w:p>
          <w:p>
            <w:pPr>
              <w:pStyle w:val="ListParagraph"/>
              <w:numPr>
                <w:ilvl w:val="0"/>
                <w:numId w:val="3"/>
              </w:numPr>
            </w:pPr>
            <w:r>
              <w:rPr>
                <w:rStyle w:val="row-content-rich-text"/>
              </w:rPr>
              <w:t xml:space="preserve">Aggregated data 2017–2021 (Indigenous status).</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9d40c1537d584911">
              <w:r>
                <w:rPr>
                  <w:rStyle w:val="Hyperlink"/>
                </w:rPr>
                <w:t xml:space="preserve">Data quality: 2021 data considerations, Coroner certified deaths data</w:t>
              </w:r>
            </w:hyperlink>
            <w:r>
              <w:rPr>
                <w:rStyle w:val="row-content-rich-text"/>
              </w:rPr>
              <w:t xml:space="preserve"> and </w:t>
            </w:r>
            <w:hyperlink w:history="true" r:id="R7d49b510fa8d4290">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c727a85f21d94fd7">
              <w:r>
                <w:rPr>
                  <w:rStyle w:val="Hyperlink"/>
                </w:rPr>
                <w:t xml:space="preserve">Technical note: Victorian additional registrations (2013–2016)</w:t>
              </w:r>
            </w:hyperlink>
            <w:r>
              <w:rPr>
                <w:rStyle w:val="row-content-rich-text"/>
              </w:rPr>
              <w:t xml:space="preserve">, </w:t>
            </w:r>
            <w:hyperlink w:history="true" r:id="R72ae8093d5914fbe">
              <w:r>
                <w:rPr>
                  <w:rStyle w:val="Hyperlink"/>
                </w:rPr>
                <w:t xml:space="preserve">Technical note: Updates to doctor certified causes of death data, Western Australia, 2016 to 2020</w:t>
              </w:r>
            </w:hyperlink>
            <w:r>
              <w:rPr>
                <w:rStyle w:val="row-content-rich-text"/>
              </w:rPr>
              <w:t xml:space="preserve"> and </w:t>
            </w:r>
            <w:hyperlink w:history="true" r:id="R02dd87d4f97c4279">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ce44d7c2103648ab">
              <w:r>
                <w:rPr>
                  <w:rStyle w:val="Hyperlink"/>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the ICD-10 2006 version; 2013-2017 data were coded using the ICD-10 2013 version; 2018 data were coded using the ICD-10 2016 version; 2019 data were coded using the ICD-10 2019 version; 2020 data were coded using ICD-10 2020 version; 2021 data were coded using ICD-10 2021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5811a4ae0a483a">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a138eab68f4a4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6b84a99fc64bb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e8559911dfe4fb9">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e2f07bded4d86">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6f4f291e5f634cc9">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b6f62042fbfc46a5">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b5586872bb804ce6">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fe8568b530e842ef">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3c85987afd8747c2">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a397cb530c854a6b">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7fef064444cb4e0c">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433d4bb5f04a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c697b19fa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d4bb5f04a4e6b" /><Relationship Type="http://schemas.openxmlformats.org/officeDocument/2006/relationships/header" Target="/word/header1.xml" Id="Rbe19437ab7fe4647" /><Relationship Type="http://schemas.openxmlformats.org/officeDocument/2006/relationships/settings" Target="/word/settings.xml" Id="R804b1ff2dc4845d6" /><Relationship Type="http://schemas.openxmlformats.org/officeDocument/2006/relationships/styles" Target="/word/styles.xml" Id="Rd5bcde898b734688" /><Relationship Type="http://schemas.openxmlformats.org/officeDocument/2006/relationships/hyperlink" Target="https://meteor.aihw.gov.au/RegistrationAuthority/12" TargetMode="External" Id="R6bc29301637d47d8" /><Relationship Type="http://schemas.openxmlformats.org/officeDocument/2006/relationships/hyperlink" Target="https://meteor.aihw.gov.au/content/788568" TargetMode="External" Id="Re017879a423c44bd" /><Relationship Type="http://schemas.openxmlformats.org/officeDocument/2006/relationships/hyperlink" Target="https://meteor.aihw.gov.au/RegistrationAuthority/12" TargetMode="External" Id="Rf109b00dffe14e0a" /><Relationship Type="http://schemas.openxmlformats.org/officeDocument/2006/relationships/numbering" Target="/word/numbering.xml" Id="R3d129084f7c947df" /><Relationship Type="http://schemas.openxmlformats.org/officeDocument/2006/relationships/hyperlink" Target="https://meteor.aihw.gov.au/content/395084" TargetMode="External" Id="Rf3d0556adb2c4c63" /><Relationship Type="http://schemas.openxmlformats.org/officeDocument/2006/relationships/hyperlink" Target="https://meteor.aihw.gov.au/content/719790" TargetMode="External" Id="R7f451a1ec041492b" /><Relationship Type="http://schemas.openxmlformats.org/officeDocument/2006/relationships/hyperlink" Target="https://meteor.aihw.gov.au/content/388656" TargetMode="External" Id="R35b686379f3c4b02" /><Relationship Type="http://schemas.openxmlformats.org/officeDocument/2006/relationships/hyperlink" Target="https://meteor.aihw.gov.au/content/787013" TargetMode="External" Id="R25623873b80a4b08" /><Relationship Type="http://schemas.openxmlformats.org/officeDocument/2006/relationships/hyperlink" Target="https://meteor.aihw.gov.au/content/395084" TargetMode="External" Id="R54864de75eb84d56" /><Relationship Type="http://schemas.openxmlformats.org/officeDocument/2006/relationships/hyperlink" Target="https://meteor.aihw.gov.au/content/602543" TargetMode="External" Id="R75c290d4b04a4206" /><Relationship Type="http://schemas.openxmlformats.org/officeDocument/2006/relationships/hyperlink" Target="https://meteor.aihw.gov.au/content/395084" TargetMode="External" Id="R078eaa761d8e4cc8" /><Relationship Type="http://schemas.openxmlformats.org/officeDocument/2006/relationships/hyperlink" Target="https://meteor.aihw.gov.au/content/635126" TargetMode="External" Id="Re978df1ad6d24bd8" /><Relationship Type="http://schemas.openxmlformats.org/officeDocument/2006/relationships/hyperlink" Target="https://meteor.aihw.gov.au/content/395084" TargetMode="External" Id="Rd86f6bdc18524c52" /><Relationship Type="http://schemas.openxmlformats.org/officeDocument/2006/relationships/hyperlink" Target="https://meteor.aihw.gov.au/content/747315" TargetMode="External" Id="R9dc606f0b08b4cd0" /><Relationship Type="http://schemas.openxmlformats.org/officeDocument/2006/relationships/hyperlink" Target="https://meteor.aihw.gov.au/content/395084" TargetMode="External" Id="R527667dcec504b02" /><Relationship Type="http://schemas.openxmlformats.org/officeDocument/2006/relationships/hyperlink" Target="https://www.abs.gov.au/methodologies/causes-death-australia-methodology/2021#data-quality" TargetMode="External" Id="R9d40c1537d584911" /><Relationship Type="http://schemas.openxmlformats.org/officeDocument/2006/relationships/hyperlink" Target="https://www.abs.gov.au/methodologies/causes-death-australia-methodology/2021#technical-note-causes-of-death-revisions-2021-preliminary-revision" TargetMode="External" Id="R7d49b510fa8d4290" /><Relationship Type="http://schemas.openxmlformats.org/officeDocument/2006/relationships/hyperlink" Target="https://www.abs.gov.au/methodologies/causes-death-australia-methodology/2021#technical-note-victorian-additional-registrations-2013-2016-" TargetMode="External" Id="Rc727a85f21d94fd7" /><Relationship Type="http://schemas.openxmlformats.org/officeDocument/2006/relationships/hyperlink" Target="https://www.abs.gov.au/methodologies/causes-death-australia-methodology/2021#technical-note-updates-to-doctor-certified-causes-of-death-data-western-australia-2016-to-2020" TargetMode="External" Id="R72ae8093d5914fbe" /><Relationship Type="http://schemas.openxmlformats.org/officeDocument/2006/relationships/hyperlink" Target="https://www.abs.gov.au/methodologies/causes-death-australia-methodology/2021#data-quality" TargetMode="External" Id="R02dd87d4f97c4279" /><Relationship Type="http://schemas.openxmlformats.org/officeDocument/2006/relationships/hyperlink" Target="http://www.abs.gov.au/ausstats/abs@.nsf/Lookup/3303.0Technical+Note12013" TargetMode="External" Id="Rce44d7c2103648ab" /><Relationship Type="http://schemas.openxmlformats.org/officeDocument/2006/relationships/hyperlink" Target="https://meteor.aihw.gov.au/content/721652" TargetMode="External" Id="R015811a4ae0a483a" /><Relationship Type="http://schemas.openxmlformats.org/officeDocument/2006/relationships/hyperlink" Target="https://meteor.aihw.gov.au/content/719790" TargetMode="External" Id="Rada138eab68f4a4b" /><Relationship Type="http://schemas.openxmlformats.org/officeDocument/2006/relationships/hyperlink" Target="https://meteor.aihw.gov.au/content/395084" TargetMode="External" Id="Ra26b84a99fc64bba" /><Relationship Type="http://schemas.openxmlformats.org/officeDocument/2006/relationships/hyperlink" Target="https://meteor.aihw.gov.au/content/787013" TargetMode="External" Id="R7e8559911dfe4fb9" /><Relationship Type="http://schemas.openxmlformats.org/officeDocument/2006/relationships/hyperlink" Target="https://meteor.aihw.gov.au/content/765828" TargetMode="External" Id="R93ee2f07bded4d86" /><Relationship Type="http://schemas.openxmlformats.org/officeDocument/2006/relationships/hyperlink" Target="https://meteor.aihw.gov.au/RegistrationAuthority/12" TargetMode="External" Id="R6f4f291e5f634cc9" /><Relationship Type="http://schemas.openxmlformats.org/officeDocument/2006/relationships/hyperlink" Target="https://meteor.aihw.gov.au/content/787014" TargetMode="External" Id="Rb6f62042fbfc46a5" /><Relationship Type="http://schemas.openxmlformats.org/officeDocument/2006/relationships/hyperlink" Target="https://meteor.aihw.gov.au/RegistrationAuthority/12" TargetMode="External" Id="Rb5586872bb804ce6" /><Relationship Type="http://schemas.openxmlformats.org/officeDocument/2006/relationships/hyperlink" Target="https://meteor.aihw.gov.au/content/787016" TargetMode="External" Id="Rfe8568b530e842ef" /><Relationship Type="http://schemas.openxmlformats.org/officeDocument/2006/relationships/hyperlink" Target="https://meteor.aihw.gov.au/RegistrationAuthority/12" TargetMode="External" Id="R3c85987afd8747c2" /><Relationship Type="http://schemas.openxmlformats.org/officeDocument/2006/relationships/hyperlink" Target="https://meteor.aihw.gov.au/content/787021" TargetMode="External" Id="Ra397cb530c854a6b" /><Relationship Type="http://schemas.openxmlformats.org/officeDocument/2006/relationships/hyperlink" Target="https://meteor.aihw.gov.au/RegistrationAuthority/12" TargetMode="External" Id="R7fef064444cb4e0c" /></Relationships>
</file>

<file path=word/_rels/header1.xml.rels>&#65279;<?xml version="1.0" encoding="utf-8"?><Relationships xmlns="http://schemas.openxmlformats.org/package/2006/relationships"><Relationship Type="http://schemas.openxmlformats.org/officeDocument/2006/relationships/image" Target="/media/image.png" Id="Rad6c697b19fa4de6" /></Relationships>
</file>