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c2aa2c694441b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3.4.1–Infant and young child mortality rate,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3.4.1–Infant and young child mortality rate,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3.4.1–Infant and young child mortality rate,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4d436542564493">
              <w:r>
                <w:rPr>
                  <w:rStyle w:val="Hyperlink"/>
                  <w:color w:val="244061"/>
                </w:rPr>
                <w:t xml:space="preserve">Health</w:t>
              </w:r>
            </w:hyperlink>
            <w:r>
              <w:rPr>
                <w:rStyle w:val="row-content"/>
                <w:color w:val="244061"/>
              </w:rPr>
              <w:t xml:space="preserve">, Standard 02/02/2024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c640d5b0ce4c05">
              <w:r>
                <w:rPr>
                  <w:rStyle w:val="Hyperlink"/>
                </w:rPr>
                <w:t xml:space="preserve">Australian Health Performance Framework, 2024</w:t>
              </w:r>
            </w:hyperlink>
          </w:p>
          <w:p>
            <w:pPr>
              <w:spacing w:before="0" w:after="0"/>
            </w:pPr>
            <w:r>
              <w:rPr>
                <w:rStyle w:val="row-content"/>
                <w:color w:val="244061"/>
              </w:rPr>
              <w:t xml:space="preserve">       </w:t>
            </w:r>
            <w:hyperlink w:history="true" r:id="Ra5a1b086d0b44027">
              <w:r>
                <w:rPr>
                  <w:rStyle w:val="Hyperlink"/>
                  <w:color w:val="244061"/>
                </w:rPr>
                <w:t xml:space="preserve">Health</w:t>
              </w:r>
            </w:hyperlink>
            <w:r>
              <w:rPr>
                <w:rStyle w:val="row-content"/>
                <w:color w:val="244061"/>
              </w:rPr>
              <w:t xml:space="preserve">, Qualified 21/02/2024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(under 1 year old):</w:t>
            </w:r>
            <w:r>
              <w:br/>
            </w:r>
            <w:r>
              <w:rPr>
                <w:rStyle w:val="row-content-rich-text"/>
              </w:rPr>
              <w:t xml:space="preserve">(Numerator ÷ Denominator) x 1,000</w:t>
            </w:r>
          </w:p>
          <w:p>
            <w:r>
              <w:br/>
            </w:r>
            <w:r>
              <w:rPr>
                <w:rStyle w:val="row-content-rich-text"/>
              </w:rPr>
              <w:t xml:space="preserve">Children (0–4 year olds):</w:t>
            </w:r>
            <w:r>
              <w:br/>
            </w:r>
            <w:r>
              <w:rPr>
                <w:rStyle w:val="row-content-rich-text"/>
              </w:rPr>
              <w:t xml:space="preserve">(Numerator ÷ Denominator) x 100,000</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Infant mortality rates: The rates for a single year use single year infant deaths for the numerator, and the number of single year live births for the denominator.</w:t>
            </w:r>
          </w:p>
          <w:p>
            <w:pPr/>
            <w:r>
              <w:rPr>
                <w:rStyle w:val="row-content-rich-text"/>
              </w:rPr>
              <w:t xml:space="preserve">Child mortality rates: The rates for a single year use single year data for the numerator, and the number of single year population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(aged under 1).</w:t>
            </w:r>
          </w:p>
          <w:p>
            <w:pPr>
              <w:pStyle w:val="ListParagraph"/>
              <w:numPr>
                <w:ilvl w:val="0"/>
                <w:numId w:val="3"/>
              </w:numPr>
            </w:pPr>
            <w:r>
              <w:rPr>
                <w:rStyle w:val="row-content-rich-text"/>
              </w:rPr>
              <w:t xml:space="preserve">Number of deaths among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at death, NNNN</w:t>
            </w:r>
          </w:p>
          <w:p>
            <w:r>
              <w:rPr>
                <w:rStyle w:val="row-content"/>
              </w:rPr>
              <w:t xml:space="preserve"> </w:t>
            </w:r>
          </w:p>
          <w:p>
            <w:r>
              <w:rPr>
                <w:rStyle w:val="row-content"/>
                <w:b/>
              </w:rPr>
              <w:t xml:space="preserve">Data Source</w:t>
            </w:r>
          </w:p>
          <w:p>
            <w:hyperlink w:history="true" r:id="Rc58c1c507fa64fc7">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 under 1 year old (infant)</w:t>
            </w:r>
          </w:p>
          <w:p>
            <w:pPr>
              <w:pStyle w:val="ListParagraph"/>
              <w:numPr>
                <w:ilvl w:val="0"/>
                <w:numId w:val="4"/>
              </w:numPr>
            </w:pPr>
            <w:r>
              <w:rPr>
                <w:rStyle w:val="row-content-rich-text"/>
              </w:rPr>
              <w:t xml:space="preserve">Population aged 0–4 years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8b7c144f24c74d8e">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r>
              <w:br/>
            </w:r>
            <w:r>
              <w:rPr>
                <w:rStyle w:val="row-content"/>
              </w:rPr>
              <w:t xml:space="preserve">Used for the denominator for the mortality rate for Indigenous children aged 0–4 years.</w:t>
            </w:r>
          </w:p>
          <w:p>
            <w:r>
              <w:rPr>
                <w:rStyle w:val="row-content"/>
              </w:rPr>
              <w:t xml:space="preserve"> </w:t>
            </w:r>
          </w:p>
          <w:p>
            <w:r>
              <w:rPr>
                <w:rStyle w:val="row-content"/>
                <w:b/>
                <w:color w:val="000000"/>
              </w:rPr>
              <w:t xml:space="preserve">Data Element / Data Set</w:t>
            </w:r>
          </w:p>
          <w:p>
            <w:hyperlink w:history="true" r:id="R91d83c1159834193">
              <w:r>
                <w:rPr>
                  <w:rStyle w:val="Hyperlink"/>
                </w:rPr>
                <w:t xml:space="preserve">Birth—birth status, code N</w:t>
              </w:r>
            </w:hyperlink>
          </w:p>
          <w:p>
            <w:r>
              <w:rPr>
                <w:rStyle w:val="row-content"/>
                <w:b/>
              </w:rPr>
              <w:t xml:space="preserve">Data Source</w:t>
            </w:r>
          </w:p>
          <w:p>
            <w:hyperlink w:history="true" r:id="R7efb75d2316b40fa">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as the main component of the denominator for infant and child mortality rate. Include live births only, i.e., value = 1.</w:t>
            </w:r>
          </w:p>
          <w:p>
            <w:r>
              <w:rPr>
                <w:rStyle w:val="row-content"/>
              </w:rPr>
              <w:t xml:space="preserve"> </w:t>
            </w:r>
          </w:p>
          <w:p>
            <w:r>
              <w:rPr>
                <w:rStyle w:val="row-content"/>
                <w:b/>
                <w:color w:val="000000"/>
              </w:rPr>
              <w:t xml:space="preserve">Data Element / Data Set</w:t>
            </w:r>
          </w:p>
          <w:p>
            <w:hyperlink w:history="true" r:id="Ra491f44bef1d4c9f">
              <w:r>
                <w:rPr>
                  <w:rStyle w:val="Hyperlink"/>
                </w:rPr>
                <w:t xml:space="preserve">Person—estimated resident population of Australia, total people N[N(7)]</w:t>
              </w:r>
            </w:hyperlink>
          </w:p>
          <w:p>
            <w:r>
              <w:rPr>
                <w:rStyle w:val="row-content"/>
                <w:b/>
              </w:rPr>
              <w:t xml:space="preserve">Data Source</w:t>
            </w:r>
          </w:p>
          <w:p>
            <w:hyperlink w:history="true" r:id="Rf302d391ab864bdc">
              <w:r>
                <w:rPr>
                  <w:rStyle w:val="Hyperlink"/>
                </w:rPr>
                <w:t xml:space="preserve">ABS Estimated resident population (2021 Census-based)</w:t>
              </w:r>
            </w:hyperlink>
          </w:p>
          <w:p>
            <w:r>
              <w:rPr>
                <w:rStyle w:val="row-content"/>
                <w:b/>
              </w:rPr>
              <w:t xml:space="preserve">Guide for use</w:t>
            </w:r>
          </w:p>
          <w:p>
            <w:r>
              <w:rPr>
                <w:rStyle w:val="row-content"/>
              </w:rPr>
              <w:t xml:space="preserve"> </w:t>
            </w:r>
          </w:p>
          <w:p>
            <w:r>
              <w:rPr>
                <w:rStyle w:val="row-content"/>
              </w:rPr>
              <w:t xml:space="preserve">Data source type: Census based data plus administrative by-product data</w:t>
            </w:r>
            <w:r>
              <w:br/>
            </w:r>
            <w:r>
              <w:rPr>
                <w:rStyle w:val="row-content"/>
              </w:rPr>
              <w:t xml:space="preserve">Used for the denominator for the mortality rate for children aged 0–4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2008–2021—National by sex, infants aged under 1.</w:t>
            </w:r>
          </w:p>
          <w:p>
            <w:pPr>
              <w:spacing w:after="160"/>
            </w:pPr>
            <w:r>
              <w:rPr>
                <w:rStyle w:val="row-content-rich-text"/>
              </w:rPr>
              <w:t xml:space="preserve">2008–2021—National by sex, children aged 0–4.</w:t>
            </w:r>
          </w:p>
          <w:p>
            <w:pPr>
              <w:spacing w:after="160"/>
            </w:pPr>
            <w:r>
              <w:rPr>
                <w:rStyle w:val="row-content-rich-text"/>
              </w:rPr>
              <w:t xml:space="preserve">2008–2021—State and territory by sex, infants aged under 1.</w:t>
            </w:r>
          </w:p>
          <w:p>
            <w:pPr>
              <w:spacing w:after="160"/>
            </w:pPr>
            <w:r>
              <w:rPr>
                <w:rStyle w:val="row-content-rich-text"/>
              </w:rPr>
              <w:t xml:space="preserve">2008–2021—State and territory by sex, children aged 0–4.</w:t>
            </w:r>
          </w:p>
          <w:p>
            <w:pPr>
              <w:spacing w:after="160"/>
            </w:pPr>
            <w:r>
              <w:rPr>
                <w:rStyle w:val="row-content-rich-text"/>
              </w:rPr>
              <w:t xml:space="preserve">2008–2021—National by Indigenous status and sex, infants aged under 1.</w:t>
            </w:r>
          </w:p>
          <w:p>
            <w:pPr>
              <w:spacing w:after="160"/>
            </w:pPr>
            <w:r>
              <w:rPr>
                <w:rStyle w:val="row-content-rich-text"/>
              </w:rPr>
              <w:t xml:space="preserve">2008–2021—National by Indigenous status and sex, children aged 0–4.</w:t>
            </w:r>
          </w:p>
          <w:p>
            <w:pPr>
              <w:spacing w:after="160"/>
            </w:pPr>
            <w:r>
              <w:rPr>
                <w:rStyle w:val="row-content-rich-text"/>
              </w:rPr>
              <w:t xml:space="preserve">2011–2021—Primary Health Network, infants aged under 1.</w:t>
            </w:r>
          </w:p>
          <w:p>
            <w:pPr>
              <w:spacing w:after="160"/>
            </w:pPr>
            <w:r>
              <w:rPr>
                <w:rStyle w:val="row-content-rich-text"/>
              </w:rPr>
              <w:t xml:space="preserve">2011–2021—Primary Health Network, children aged 0–4.</w:t>
            </w:r>
          </w:p>
          <w:p>
            <w:pPr>
              <w:spacing w:after="160"/>
            </w:pPr>
            <w:r>
              <w:rPr>
                <w:rStyle w:val="row-content-rich-text"/>
              </w:rPr>
              <w:t xml:space="preserve">2011–2021—National by remoteness areas (Australian Statistical Geography Standard (ASGS) Remoteness Structure), infants aged under 1.</w:t>
            </w:r>
          </w:p>
          <w:p>
            <w:pPr>
              <w:spacing w:after="160"/>
            </w:pPr>
            <w:r>
              <w:rPr>
                <w:rStyle w:val="row-content-rich-text"/>
              </w:rPr>
              <w:t xml:space="preserve">2011–2021—National by remoteness areas (ASGS Remoteness Structure), children aged 0–4.</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at death, NNNN</w:t>
            </w:r>
          </w:p>
          <w:p>
            <w:r>
              <w:rPr>
                <w:rStyle w:val="row-content"/>
              </w:rPr>
              <w:t xml:space="preserve"> </w:t>
            </w:r>
          </w:p>
          <w:p>
            <w:r>
              <w:rPr>
                <w:rStyle w:val="row-content"/>
                <w:b/>
              </w:rPr>
              <w:t xml:space="preserve">Data Source</w:t>
            </w:r>
          </w:p>
          <w:p>
            <w:hyperlink w:history="true" r:id="Re7429b214af648d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9f38b6c34b469d">
              <w:r>
                <w:rPr>
                  <w:rStyle w:val="Hyperlink"/>
                </w:rPr>
                <w:t xml:space="preserve">Person—Indigenous status, code N</w:t>
              </w:r>
            </w:hyperlink>
          </w:p>
          <w:p>
            <w:r>
              <w:rPr>
                <w:rStyle w:val="row-content"/>
                <w:b/>
              </w:rPr>
              <w:t xml:space="preserve">Data Source</w:t>
            </w:r>
          </w:p>
          <w:p>
            <w:hyperlink w:history="true" r:id="Ra4af4d35a2bf4198">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6a9b08d9464233">
              <w:r>
                <w:rPr>
                  <w:rStyle w:val="Hyperlink"/>
                </w:rPr>
                <w:t xml:space="preserve">Person—sex, code X</w:t>
              </w:r>
            </w:hyperlink>
          </w:p>
          <w:p>
            <w:r>
              <w:rPr>
                <w:rStyle w:val="row-content"/>
                <w:b/>
              </w:rPr>
              <w:t xml:space="preserve">Data Source</w:t>
            </w:r>
          </w:p>
          <w:p>
            <w:hyperlink w:history="true" r:id="Re0fd5f3741834c33">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a200ac01f34772">
              <w:r>
                <w:rPr>
                  <w:rStyle w:val="Hyperlink"/>
                </w:rPr>
                <w:t xml:space="preserve">Address—statistical area, level 2 (SA2) code (ASGS Edition 3) N(9)</w:t>
              </w:r>
            </w:hyperlink>
          </w:p>
          <w:p>
            <w:r>
              <w:rPr>
                <w:rStyle w:val="row-content"/>
                <w:b/>
              </w:rPr>
              <w:t xml:space="preserve">Data Source</w:t>
            </w:r>
          </w:p>
          <w:p>
            <w:hyperlink w:history="true" r:id="Rb49bdc7018944e85">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Primary Health Network and remoteness areas.</w:t>
            </w:r>
          </w:p>
          <w:p>
            <w:r>
              <w:rPr>
                <w:rStyle w:val="row-content"/>
              </w:rPr>
              <w:t xml:space="preserve"> </w:t>
            </w:r>
          </w:p>
          <w:p>
            <w:r>
              <w:rPr>
                <w:rStyle w:val="row-content"/>
                <w:b/>
                <w:color w:val="000000"/>
              </w:rPr>
              <w:t xml:space="preserve">Data Element / Data Set</w:t>
            </w:r>
          </w:p>
          <w:p>
            <w:hyperlink w:history="true" r:id="R177f08a08d254829">
              <w:r>
                <w:rPr>
                  <w:rStyle w:val="Hyperlink"/>
                </w:rPr>
                <w:t xml:space="preserve">Person—area of usual residence, statistical area level 2 (SA2) code (ASGS Edition 3) N(9)</w:t>
              </w:r>
            </w:hyperlink>
          </w:p>
          <w:p>
            <w:r>
              <w:rPr>
                <w:rStyle w:val="row-content"/>
                <w:b/>
              </w:rPr>
              <w:t xml:space="preserve">Data Source</w:t>
            </w:r>
          </w:p>
          <w:p>
            <w:hyperlink w:history="true" r:id="R0f553768777f4b21">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2024 Australian Health Performance Framework reporting: 2021.</w:t>
            </w:r>
          </w:p>
          <w:p>
            <w:pPr>
              <w:spacing w:after="160"/>
            </w:pPr>
            <w:r>
              <w:rPr>
                <w:rStyle w:val="row-content-rich-text"/>
              </w:rPr>
              <w:t xml:space="preserve">Deaths registered in 2019 and earlier are based on the final version of cause of death data; deaths registered in 2020 are based on the revised version; and deaths registered in 2021 are based on the preliminary version. Revised and preliminary versions are subject to further revision by the Australian Bureau of Statistics (ABS).</w:t>
            </w:r>
          </w:p>
          <w:p>
            <w:pPr>
              <w:spacing w:after="160"/>
            </w:pPr>
            <w:r>
              <w:rPr>
                <w:rStyle w:val="row-content-rich-text"/>
              </w:rPr>
              <w:t xml:space="preserve">Deaths registered in 2021 have undergone a targeted preliminary revision to three causes of deaths: Other ill-defined and unspecified causes of mortality (R99); Exposure to unspecified factor (X59); Unspecified event, undetermined intent (Y34). A full revisions process will be undertaken in 2024. For further information please refer to ABS Causes of Death, Australia, 2021, methodology </w:t>
            </w:r>
            <w:hyperlink w:history="true" r:id="R4d8a143a884248f4">
              <w:r>
                <w:rPr>
                  <w:rStyle w:val="Hyperlink"/>
                </w:rPr>
                <w:t xml:space="preserve">Data quality: 2021 data considerations, Coroner certified deaths data</w:t>
              </w:r>
            </w:hyperlink>
            <w:r>
              <w:rPr>
                <w:rStyle w:val="row-content-rich-text"/>
              </w:rPr>
              <w:t xml:space="preserve"> and </w:t>
            </w:r>
            <w:hyperlink w:history="true" r:id="Re68b124bad6c40b7">
              <w:r>
                <w:rPr>
                  <w:rStyle w:val="Hyperlink"/>
                </w:rPr>
                <w:t xml:space="preserve">Technical note: Causes of death revisions, 2021 preliminary revision</w:t>
              </w:r>
            </w:hyperlink>
            <w:r>
              <w:rPr>
                <w:rStyle w:val="row-content-rich-text"/>
              </w:rPr>
              <w:t xml:space="preserve">.</w:t>
            </w:r>
          </w:p>
          <w:p>
            <w:pPr>
              <w:spacing w:after="160"/>
            </w:pPr>
            <w:r>
              <w:rPr>
                <w:rStyle w:val="row-content-rich-text"/>
              </w:rPr>
              <w:t xml:space="preserve">Data for the registration years 2013–2020 have been updated to include data quality and completeness activities conducted by the ABS. These include: additional Victorian death registrations in 2013–2016 that had not previously been included in the National Mortality Database; revisions to associated causes of death in Western Australia (2016–2020); and updates to deaths due to Other ill-defined and unspecified causes of mortality (R99) in the 2017 reference year. As a result, data may not equal previously published data for these years. For more detail, refer to </w:t>
            </w:r>
            <w:hyperlink w:history="true" r:id="Rfc7d3444b4e5440e">
              <w:r>
                <w:rPr>
                  <w:rStyle w:val="Hyperlink"/>
                </w:rPr>
                <w:t xml:space="preserve">Technical note: Victorian additional registrations (2013–2016)</w:t>
              </w:r>
            </w:hyperlink>
            <w:r>
              <w:rPr>
                <w:rStyle w:val="row-content-rich-text"/>
              </w:rPr>
              <w:t xml:space="preserve">, </w:t>
            </w:r>
            <w:hyperlink w:history="true" r:id="Rbfcdef8725a443c8">
              <w:r>
                <w:rPr>
                  <w:rStyle w:val="Hyperlink"/>
                </w:rPr>
                <w:t xml:space="preserve">Technical note: Updates to doctor certified causes of death data, Western Australia, 2016 to 2020</w:t>
              </w:r>
            </w:hyperlink>
            <w:r>
              <w:rPr>
                <w:rStyle w:val="row-content-rich-text"/>
              </w:rPr>
              <w:t xml:space="preserve"> and </w:t>
            </w:r>
            <w:hyperlink w:history="true" r:id="Rfdea9fd741754a72">
              <w:r>
                <w:rPr>
                  <w:rStyle w:val="Hyperlink"/>
                </w:rPr>
                <w:t xml:space="preserve">Data quality: Historical considerations in Causes of death, Australia methodology, 2021</w:t>
              </w:r>
            </w:hyperlink>
            <w:r>
              <w:rPr>
                <w:rStyle w:val="row-content-rich-text"/>
              </w:rPr>
              <w:t xml:space="preserve">.</w:t>
            </w:r>
          </w:p>
          <w:p>
            <w:pPr>
              <w:spacing w:after="160"/>
            </w:pPr>
            <w:r>
              <w:rPr>
                <w:rStyle w:val="row-content-rich-text"/>
              </w:rPr>
              <w:t xml:space="preserve">A number of updates to the ICD-10 were applied to the 2013 causes of death data. Details of the impact of these changes on the mortality data are described in</w:t>
            </w:r>
            <w:r>
              <w:rPr>
                <w:rStyle w:val="row-content-rich-text"/>
                <w:i/>
              </w:rPr>
              <w:t xml:space="preserve"> </w:t>
            </w:r>
            <w:hyperlink w:history="true" r:id="Rcaa6932a5f5e4c02">
              <w:r>
                <w:rPr>
                  <w:rStyle w:val="Hyperlink"/>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ICD-10 2006 version. 2013 data were coded using ICD-10 2013 version; 2014–2017 data were coded using ICD-10 2015 version; 2018 data were coded using ICD-10 2016 version; 2019 data were coded using the ICD-10 2019 version; 2020 data were coded using ICD-10 2020 version; 2021 data were coded using ICD-10 2021 version.</w:t>
            </w:r>
          </w:p>
          <w:p>
            <w:pPr/>
            <w:r>
              <w:rPr>
                <w:rStyle w:val="row-content-rich-text"/>
              </w:rPr>
              <w:t xml:space="preserve">Single year data are reported for time series analysis.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8613504b534aab">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daeb436c9c451b">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e0282944ca24712">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ecb78c3167c4b0c">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5e881713b254af8">
              <w:r>
                <w:rPr>
                  <w:rStyle w:val="Hyperlink"/>
                </w:rPr>
                <w:t xml:space="preserve">ABS Estimated resident population (2021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a76cc3d6524a10">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86de358753254c4e">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b92504103d54405c">
              <w:r>
                <w:rPr>
                  <w:rStyle w:val="Hyperlink"/>
                </w:rPr>
                <w:t xml:space="preserve">Australian Health Performance Framework: PI 2.1.6–Potentially avoidable deaths, 2024</w:t>
              </w:r>
            </w:hyperlink>
          </w:p>
          <w:p>
            <w:pPr>
              <w:spacing w:before="0" w:after="0"/>
            </w:pPr>
            <w:r>
              <w:rPr>
                <w:rStyle w:val="row-content"/>
                <w:color w:val="244061"/>
              </w:rPr>
              <w:t xml:space="preserve">       </w:t>
            </w:r>
            <w:hyperlink w:history="true" r:id="R656837fe61174234">
              <w:r>
                <w:rPr>
                  <w:rStyle w:val="Hyperlink"/>
                  <w:color w:val="244061"/>
                </w:rPr>
                <w:t xml:space="preserve">Health</w:t>
              </w:r>
            </w:hyperlink>
            <w:r>
              <w:rPr>
                <w:rStyle w:val="row-content"/>
                <w:color w:val="244061"/>
              </w:rPr>
              <w:t xml:space="preserve">, Standard 02/02/2024</w:t>
            </w:r>
          </w:p>
          <w:p>
            <w:r>
              <w:br/>
            </w:r>
            <w:r>
              <w:rPr>
                <w:rStyle w:val="row-content"/>
              </w:rPr>
              <w:t xml:space="preserve">See also </w:t>
            </w:r>
            <w:hyperlink w:history="true" r:id="Reab1779375cb4c94">
              <w:r>
                <w:rPr>
                  <w:rStyle w:val="Hyperlink"/>
                </w:rPr>
                <w:t xml:space="preserve">Australian Health Performance Framework: PI 3.4.3–Major causes of death, 2024</w:t>
              </w:r>
            </w:hyperlink>
          </w:p>
          <w:p>
            <w:pPr>
              <w:spacing w:before="0" w:after="0"/>
            </w:pPr>
            <w:r>
              <w:rPr>
                <w:rStyle w:val="row-content"/>
                <w:color w:val="244061"/>
              </w:rPr>
              <w:t xml:space="preserve">       </w:t>
            </w:r>
            <w:hyperlink w:history="true" r:id="R6b6f014ddf854c5f">
              <w:r>
                <w:rPr>
                  <w:rStyle w:val="Hyperlink"/>
                  <w:color w:val="244061"/>
                </w:rPr>
                <w:t xml:space="preserve">Health</w:t>
              </w:r>
            </w:hyperlink>
            <w:r>
              <w:rPr>
                <w:rStyle w:val="row-content"/>
                <w:color w:val="244061"/>
              </w:rPr>
              <w:t xml:space="preserve">, Standard 02/02/2024</w:t>
            </w:r>
          </w:p>
          <w:p>
            <w:r>
              <w:br/>
            </w:r>
            <w:r>
              <w:rPr>
                <w:rStyle w:val="row-content"/>
              </w:rPr>
              <w:t xml:space="preserve">See also </w:t>
            </w:r>
            <w:hyperlink w:history="true" r:id="R2c7c2dc67d464ed2">
              <w:r>
                <w:rPr>
                  <w:rStyle w:val="Hyperlink"/>
                </w:rPr>
                <w:t xml:space="preserve">Australian Health Performance Framework: PI 3.4.4–Mortality due to suicide, 2024</w:t>
              </w:r>
            </w:hyperlink>
          </w:p>
          <w:p>
            <w:pPr>
              <w:spacing w:before="0" w:after="0"/>
            </w:pPr>
            <w:r>
              <w:rPr>
                <w:rStyle w:val="row-content"/>
                <w:color w:val="244061"/>
              </w:rPr>
              <w:t xml:space="preserve">       </w:t>
            </w:r>
            <w:hyperlink w:history="true" r:id="R4113d6e3aea548c6">
              <w:r>
                <w:rPr>
                  <w:rStyle w:val="Hyperlink"/>
                  <w:color w:val="244061"/>
                </w:rPr>
                <w:t xml:space="preserve">Health</w:t>
              </w:r>
            </w:hyperlink>
            <w:r>
              <w:rPr>
                <w:rStyle w:val="row-content"/>
                <w:color w:val="244061"/>
              </w:rPr>
              <w:t xml:space="preserve">, Standard 02/02/2024</w:t>
            </w:r>
          </w:p>
          <w:p>
            <w:r>
              <w:br/>
            </w:r>
          </w:p>
        </w:tc>
      </w:tr>
    </w:tbl>
    <w:p>
      <w:r>
        <w:br/>
      </w:r>
    </w:p>
    <w:sectPr>
      <w:footerReference xmlns:r="http://schemas.openxmlformats.org/officeDocument/2006/relationships" w:type="default" r:id="R8718ff8d8c72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787016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1d6a858f8e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8ff8d8c724925" /><Relationship Type="http://schemas.openxmlformats.org/officeDocument/2006/relationships/header" Target="/word/header1.xml" Id="Rb14f02772a8b482a" /><Relationship Type="http://schemas.openxmlformats.org/officeDocument/2006/relationships/settings" Target="/word/settings.xml" Id="R055758c4f82a4da0" /><Relationship Type="http://schemas.openxmlformats.org/officeDocument/2006/relationships/styles" Target="/word/styles.xml" Id="R9cd4de0dd34547aa" /><Relationship Type="http://schemas.openxmlformats.org/officeDocument/2006/relationships/hyperlink" Target="https://meteor.aihw.gov.au/RegistrationAuthority/12" TargetMode="External" Id="Rac4d436542564493" /><Relationship Type="http://schemas.openxmlformats.org/officeDocument/2006/relationships/hyperlink" Target="https://meteor.aihw.gov.au/content/788568" TargetMode="External" Id="R61c640d5b0ce4c05" /><Relationship Type="http://schemas.openxmlformats.org/officeDocument/2006/relationships/hyperlink" Target="https://meteor.aihw.gov.au/RegistrationAuthority/12" TargetMode="External" Id="Ra5a1b086d0b44027" /><Relationship Type="http://schemas.openxmlformats.org/officeDocument/2006/relationships/numbering" Target="/word/numbering.xml" Id="R4189ab56d2a14bee" /><Relationship Type="http://schemas.openxmlformats.org/officeDocument/2006/relationships/hyperlink" Target="https://meteor.aihw.gov.au/content/395084" TargetMode="External" Id="Rc58c1c507fa64fc7" /><Relationship Type="http://schemas.openxmlformats.org/officeDocument/2006/relationships/hyperlink" Target="https://meteor.aihw.gov.au/content/719790" TargetMode="External" Id="R8b7c144f24c74d8e" /><Relationship Type="http://schemas.openxmlformats.org/officeDocument/2006/relationships/hyperlink" Target="https://meteor.aihw.gov.au/content/269949" TargetMode="External" Id="R91d83c1159834193" /><Relationship Type="http://schemas.openxmlformats.org/officeDocument/2006/relationships/hyperlink" Target="https://meteor.aihw.gov.au/content/394483" TargetMode="External" Id="R7efb75d2316b40fa" /><Relationship Type="http://schemas.openxmlformats.org/officeDocument/2006/relationships/hyperlink" Target="https://meteor.aihw.gov.au/content/388656" TargetMode="External" Id="Ra491f44bef1d4c9f" /><Relationship Type="http://schemas.openxmlformats.org/officeDocument/2006/relationships/hyperlink" Target="https://meteor.aihw.gov.au/content/787013" TargetMode="External" Id="Rf302d391ab864bdc" /><Relationship Type="http://schemas.openxmlformats.org/officeDocument/2006/relationships/hyperlink" Target="https://meteor.aihw.gov.au/content/395084" TargetMode="External" Id="Re7429b214af648d0" /><Relationship Type="http://schemas.openxmlformats.org/officeDocument/2006/relationships/hyperlink" Target="https://meteor.aihw.gov.au/content/602543" TargetMode="External" Id="Rb09f38b6c34b469d" /><Relationship Type="http://schemas.openxmlformats.org/officeDocument/2006/relationships/hyperlink" Target="https://meteor.aihw.gov.au/content/395084" TargetMode="External" Id="Ra4af4d35a2bf4198" /><Relationship Type="http://schemas.openxmlformats.org/officeDocument/2006/relationships/hyperlink" Target="https://meteor.aihw.gov.au/content/635126" TargetMode="External" Id="Ra66a9b08d9464233" /><Relationship Type="http://schemas.openxmlformats.org/officeDocument/2006/relationships/hyperlink" Target="https://meteor.aihw.gov.au/content/395084" TargetMode="External" Id="Re0fd5f3741834c33" /><Relationship Type="http://schemas.openxmlformats.org/officeDocument/2006/relationships/hyperlink" Target="https://meteor.aihw.gov.au/content/747313" TargetMode="External" Id="Rf6a200ac01f34772" /><Relationship Type="http://schemas.openxmlformats.org/officeDocument/2006/relationships/hyperlink" Target="https://meteor.aihw.gov.au/content/395084" TargetMode="External" Id="Rb49bdc7018944e85" /><Relationship Type="http://schemas.openxmlformats.org/officeDocument/2006/relationships/hyperlink" Target="https://meteor.aihw.gov.au/content/747315" TargetMode="External" Id="R177f08a08d254829" /><Relationship Type="http://schemas.openxmlformats.org/officeDocument/2006/relationships/hyperlink" Target="https://meteor.aihw.gov.au/content/395084" TargetMode="External" Id="R0f553768777f4b21" /><Relationship Type="http://schemas.openxmlformats.org/officeDocument/2006/relationships/hyperlink" Target="https://www.abs.gov.au/methodologies/causes-death-australia-methodology/2021#data-quality" TargetMode="External" Id="R4d8a143a884248f4" /><Relationship Type="http://schemas.openxmlformats.org/officeDocument/2006/relationships/hyperlink" Target="https://www.abs.gov.au/methodologies/causes-death-australia-methodology/2021#technical-note-causes-of-death-revisions-2021-preliminary-revision" TargetMode="External" Id="Re68b124bad6c40b7" /><Relationship Type="http://schemas.openxmlformats.org/officeDocument/2006/relationships/hyperlink" Target="https://www.abs.gov.au/methodologies/causes-death-australia-methodology/2021#technical-note-victorian-additional-registrations-2013-2016-" TargetMode="External" Id="Rfc7d3444b4e5440e" /><Relationship Type="http://schemas.openxmlformats.org/officeDocument/2006/relationships/hyperlink" Target="https://www.abs.gov.au/methodologies/causes-death-australia-methodology/2021#technical-note-updates-to-doctor-certified-causes-of-death-data-western-australia-2016-to-2020" TargetMode="External" Id="Rbfcdef8725a443c8" /><Relationship Type="http://schemas.openxmlformats.org/officeDocument/2006/relationships/hyperlink" Target="https://www.abs.gov.au/methodologies/causes-death-australia-methodology/2021#data-quality" TargetMode="External" Id="Rfdea9fd741754a72" /><Relationship Type="http://schemas.openxmlformats.org/officeDocument/2006/relationships/hyperlink" Target="http://www.abs.gov.au/ausstats/abs@.nsf/Lookup/3303.0Technical+Note12013" TargetMode="External" Id="Rcaa6932a5f5e4c02" /><Relationship Type="http://schemas.openxmlformats.org/officeDocument/2006/relationships/hyperlink" Target="https://meteor.aihw.gov.au/content/721652" TargetMode="External" Id="R0c8613504b534aab" /><Relationship Type="http://schemas.openxmlformats.org/officeDocument/2006/relationships/hyperlink" Target="https://meteor.aihw.gov.au/content/719790" TargetMode="External" Id="Ra7daeb436c9c451b" /><Relationship Type="http://schemas.openxmlformats.org/officeDocument/2006/relationships/hyperlink" Target="https://meteor.aihw.gov.au/content/395084" TargetMode="External" Id="R4e0282944ca24712" /><Relationship Type="http://schemas.openxmlformats.org/officeDocument/2006/relationships/hyperlink" Target="https://meteor.aihw.gov.au/content/394483" TargetMode="External" Id="Rcecb78c3167c4b0c" /><Relationship Type="http://schemas.openxmlformats.org/officeDocument/2006/relationships/hyperlink" Target="https://meteor.aihw.gov.au/content/787013" TargetMode="External" Id="Rf5e881713b254af8" /><Relationship Type="http://schemas.openxmlformats.org/officeDocument/2006/relationships/hyperlink" Target="https://meteor.aihw.gov.au/content/765819" TargetMode="External" Id="R40a76cc3d6524a10" /><Relationship Type="http://schemas.openxmlformats.org/officeDocument/2006/relationships/hyperlink" Target="https://meteor.aihw.gov.au/RegistrationAuthority/12" TargetMode="External" Id="R86de358753254c4e" /><Relationship Type="http://schemas.openxmlformats.org/officeDocument/2006/relationships/hyperlink" Target="https://meteor.aihw.gov.au/content/787014" TargetMode="External" Id="Rb92504103d54405c" /><Relationship Type="http://schemas.openxmlformats.org/officeDocument/2006/relationships/hyperlink" Target="https://meteor.aihw.gov.au/RegistrationAuthority/12" TargetMode="External" Id="R656837fe61174234" /><Relationship Type="http://schemas.openxmlformats.org/officeDocument/2006/relationships/hyperlink" Target="https://meteor.aihw.gov.au/content/787019" TargetMode="External" Id="Reab1779375cb4c94" /><Relationship Type="http://schemas.openxmlformats.org/officeDocument/2006/relationships/hyperlink" Target="https://meteor.aihw.gov.au/RegistrationAuthority/12" TargetMode="External" Id="R6b6f014ddf854c5f" /><Relationship Type="http://schemas.openxmlformats.org/officeDocument/2006/relationships/hyperlink" Target="https://meteor.aihw.gov.au/content/787021" TargetMode="External" Id="R2c7c2dc67d464ed2" /><Relationship Type="http://schemas.openxmlformats.org/officeDocument/2006/relationships/hyperlink" Target="https://meteor.aihw.gov.au/RegistrationAuthority/12" TargetMode="External" Id="R4113d6e3aea548c6" /></Relationships>
</file>

<file path=word/_rels/header1.xml.rels>&#65279;<?xml version="1.0" encoding="utf-8"?><Relationships xmlns="http://schemas.openxmlformats.org/package/2006/relationships"><Relationship Type="http://schemas.openxmlformats.org/officeDocument/2006/relationships/image" Target="/media/image.png" Id="R8a1d6a858f8e4c36" /></Relationships>
</file>