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0b41e24cab41e5"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private hospital admission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private hospital admission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Admission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c0175714e47e6">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4344f92c042d43bd">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30a506cba24d33">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9eac92c864cd6">
              <w:r>
                <w:rPr>
                  <w:rStyle w:val="Hyperlink"/>
                </w:rPr>
                <w:t xml:space="preserve">Tasmanian private hospital admission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Non-acute (exclude NHT, Social,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Excludes unqualified neonate and psychiatric/mental health.</w:t>
            </w:r>
          </w:p>
          <w:p>
            <w:pPr>
              <w:spacing w:after="160"/>
            </w:pPr>
            <w:r>
              <w:rPr>
                <w:rStyle w:val="row-content-rich-text"/>
              </w:rPr>
              <w:t xml:space="preserve"> </w:t>
            </w:r>
          </w:p>
          <w:p>
            <w:pPr>
              <w:spacing w:after="160"/>
            </w:pPr>
            <w:r>
              <w:rPr>
                <w:rStyle w:val="row-content-rich-text"/>
              </w:rPr>
              <w:t xml:space="preserve">CODE 02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4"/>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w:t>
            </w:r>
          </w:p>
          <w:p>
            <w:pPr>
              <w:spacing w:after="160"/>
            </w:pPr>
            <w:r>
              <w:rPr>
                <w:rStyle w:val="row-content-rich-text"/>
              </w:rPr>
              <w:t xml:space="preserve">CODE 03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5"/>
              </w:numPr>
            </w:pPr>
            <w:r>
              <w:rPr>
                <w:rStyle w:val="row-content-rich-text"/>
              </w:rPr>
              <w:t xml:space="preserve">delivered under the management of or informed by a clinician with specialised expertise in palliative care, and</w:t>
            </w:r>
          </w:p>
          <w:p>
            <w:pPr>
              <w:pStyle w:val="ListParagraph"/>
              <w:numPr>
                <w:ilvl w:val="0"/>
                <w:numId w:val="5"/>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 </w:t>
            </w:r>
          </w:p>
          <w:p>
            <w:pPr>
              <w:spacing w:after="160"/>
            </w:pPr>
            <w:r>
              <w:rPr>
                <w:rStyle w:val="row-content-rich-text"/>
              </w:rPr>
              <w:t xml:space="preserve">CODE 04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 </w:t>
            </w:r>
          </w:p>
          <w:p>
            <w:pPr>
              <w:spacing w:after="160"/>
            </w:pPr>
            <w:r>
              <w:rPr>
                <w:rStyle w:val="row-content-rich-text"/>
              </w:rPr>
              <w:t xml:space="preserve">CODE 05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7"/>
              </w:numPr>
            </w:pPr>
            <w:r>
              <w:rPr>
                <w:rStyle w:val="row-content-rich-text"/>
              </w:rPr>
              <w:t xml:space="preserve">delivered under the management of or informed by a clinician with specialised expertise in rehabilitation, and</w:t>
            </w:r>
          </w:p>
          <w:p>
            <w:pPr>
              <w:pStyle w:val="ListParagraph"/>
              <w:numPr>
                <w:ilvl w:val="0"/>
                <w:numId w:val="7"/>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 </w:t>
            </w:r>
          </w:p>
          <w:p>
            <w:pPr>
              <w:spacing w:after="160"/>
            </w:pPr>
            <w:r>
              <w:rPr>
                <w:rStyle w:val="row-content-rich-text"/>
              </w:rPr>
              <w:t xml:space="preserve">CODE 06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 </w:t>
            </w:r>
          </w:p>
          <w:p>
            <w:pPr>
              <w:spacing w:after="160"/>
            </w:pPr>
            <w:r>
              <w:rPr>
                <w:rStyle w:val="row-content-rich-text"/>
              </w:rPr>
              <w:t xml:space="preserve">CODE 07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8"/>
              </w:numPr>
            </w:pPr>
            <w:r>
              <w:rPr>
                <w:rStyle w:val="row-content-rich-text"/>
              </w:rPr>
              <w:t xml:space="preserve">Admission due to carer illness or fatigue.</w:t>
            </w:r>
          </w:p>
          <w:p>
            <w:pPr>
              <w:pStyle w:val="ListParagraph"/>
              <w:numPr>
                <w:ilvl w:val="0"/>
                <w:numId w:val="8"/>
              </w:numPr>
            </w:pPr>
            <w:r>
              <w:rPr>
                <w:rStyle w:val="row-content-rich-text"/>
              </w:rPr>
              <w:t xml:space="preserve">The carer becoming unavailable at short notice.</w:t>
            </w:r>
          </w:p>
          <w:p>
            <w:pPr>
              <w:pStyle w:val="ListParagraph"/>
              <w:numPr>
                <w:ilvl w:val="0"/>
                <w:numId w:val="8"/>
              </w:numPr>
            </w:pPr>
            <w:r>
              <w:rPr>
                <w:rStyle w:val="row-content-rich-text"/>
              </w:rPr>
              <w:t xml:space="preserve">Urgent closure of care facility.</w:t>
            </w:r>
          </w:p>
          <w:p>
            <w:pPr>
              <w:spacing w:after="160"/>
            </w:pPr>
            <w:r>
              <w:rPr>
                <w:rStyle w:val="row-content-rich-text"/>
              </w:rPr>
              <w:t xml:space="preserve"> </w:t>
            </w:r>
          </w:p>
          <w:p>
            <w:pPr>
              <w:spacing w:after="160"/>
            </w:pPr>
            <w:r>
              <w:rPr>
                <w:rStyle w:val="row-content-rich-text"/>
              </w:rPr>
              <w:t xml:space="preserve">CODE 08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9"/>
              </w:numPr>
            </w:pPr>
            <w:r>
              <w:rPr>
                <w:rStyle w:val="row-content-rich-text"/>
              </w:rPr>
              <w:t xml:space="preserve">Planned respite due to carer unavailability.</w:t>
            </w:r>
          </w:p>
          <w:p>
            <w:pPr>
              <w:pStyle w:val="ListParagraph"/>
              <w:numPr>
                <w:ilvl w:val="0"/>
                <w:numId w:val="9"/>
              </w:numPr>
            </w:pPr>
            <w:r>
              <w:rPr>
                <w:rStyle w:val="row-content-rich-text"/>
              </w:rPr>
              <w:t xml:space="preserve">Short term closure of care facility.</w:t>
            </w:r>
          </w:p>
          <w:p>
            <w:pPr>
              <w:pStyle w:val="ListParagraph"/>
              <w:numPr>
                <w:ilvl w:val="0"/>
                <w:numId w:val="9"/>
              </w:numPr>
            </w:pPr>
            <w:r>
              <w:rPr>
                <w:rStyle w:val="row-content-rich-text"/>
              </w:rPr>
              <w:t xml:space="preserve">Short term unavailability of community services.</w:t>
            </w:r>
          </w:p>
          <w:p>
            <w:pPr>
              <w:spacing w:after="160"/>
            </w:pPr>
            <w:r>
              <w:rPr>
                <w:rStyle w:val="row-content-rich-text"/>
              </w:rPr>
              <w:t xml:space="preserve"> </w:t>
            </w:r>
          </w:p>
          <w:p>
            <w:pPr>
              <w:spacing w:after="160"/>
            </w:pPr>
            <w:r>
              <w:rPr>
                <w:rStyle w:val="row-content-rich-text"/>
              </w:rPr>
              <w:t xml:space="preserve">CODE 09 Non-acute (excluding NHT, social, respite)</w:t>
            </w:r>
          </w:p>
          <w:p>
            <w:pPr>
              <w:spacing w:after="160"/>
            </w:pPr>
            <w:r>
              <w:rPr>
                <w:rStyle w:val="row-content-rich-text"/>
              </w:rPr>
              <w:t xml:space="preserve">Other maintenance is care in which the primary clinical purpose or treatment goal, following assessment or treatment, the patient does not require further complex assessment or stablilisation and is to maintain the patient's lower level care while waiting other services. </w:t>
            </w:r>
          </w:p>
          <w:p>
            <w:pPr>
              <w:spacing w:after="160"/>
            </w:pPr>
            <w:r>
              <w:rPr>
                <w:rStyle w:val="row-content-rich-text"/>
              </w:rPr>
              <w:t xml:space="preserve">Excludes nursing home type, social, respite. </w:t>
            </w:r>
          </w:p>
          <w:p>
            <w:pPr>
              <w:spacing w:after="160"/>
            </w:pPr>
            <w:r>
              <w:rPr>
                <w:rStyle w:val="row-content-rich-text"/>
              </w:rPr>
              <w:t xml:space="preserve"> </w:t>
            </w:r>
          </w:p>
          <w:p>
            <w:pPr>
              <w:spacing w:after="160"/>
            </w:pPr>
            <w:r>
              <w:rPr>
                <w:rStyle w:val="row-content-rich-text"/>
              </w:rPr>
              <w:t xml:space="preserve">CODE 10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10"/>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10"/>
              </w:numPr>
            </w:pPr>
            <w:r>
              <w:rPr>
                <w:rStyle w:val="row-content-rich-text"/>
              </w:rPr>
              <w:t xml:space="preserve">Patients who turn 10 days of age and require clinical care continue in a neonate episode of care until separated.</w:t>
            </w:r>
          </w:p>
          <w:p>
            <w:pPr>
              <w:pStyle w:val="ListParagraph"/>
              <w:numPr>
                <w:ilvl w:val="0"/>
                <w:numId w:val="10"/>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10"/>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10"/>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 </w:t>
            </w:r>
          </w:p>
          <w:p>
            <w:pPr>
              <w:spacing w:after="160"/>
            </w:pPr>
            <w:r>
              <w:rPr>
                <w:rStyle w:val="row-content-rich-text"/>
              </w:rPr>
              <w:t xml:space="preserve"> CODE 11 Boarder</w:t>
            </w:r>
          </w:p>
          <w:p>
            <w:pPr>
              <w:pStyle w:val="ListParagraph"/>
              <w:numPr>
                <w:ilvl w:val="0"/>
                <w:numId w:val="11"/>
              </w:numPr>
            </w:pPr>
            <w:r>
              <w:rPr>
                <w:rStyle w:val="row-content-rich-text"/>
              </w:rPr>
              <w:t xml:space="preserve">Admission for a person (usually a carer or relative) accompanying the patient.</w:t>
            </w:r>
          </w:p>
          <w:p>
            <w:pPr>
              <w:pStyle w:val="ListParagraph"/>
              <w:numPr>
                <w:ilvl w:val="0"/>
                <w:numId w:val="11"/>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11"/>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 </w:t>
            </w:r>
          </w:p>
          <w:p>
            <w:pPr>
              <w:spacing w:after="160"/>
            </w:pPr>
            <w:r>
              <w:rPr>
                <w:rStyle w:val="row-content-rich-text"/>
              </w:rPr>
              <w:t xml:space="preserve">CODE 12 Psychiatric/Mental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2"/>
              </w:numPr>
            </w:pPr>
            <w:r>
              <w:rPr>
                <w:rStyle w:val="row-content-rich-text"/>
              </w:rPr>
              <w:t xml:space="preserve">is delivered under the management of, or regularly informed by, a clinician with specialised expertise in mental health;</w:t>
            </w:r>
          </w:p>
          <w:p>
            <w:pPr>
              <w:pStyle w:val="ListParagraph"/>
              <w:numPr>
                <w:ilvl w:val="0"/>
                <w:numId w:val="12"/>
              </w:numPr>
            </w:pPr>
            <w:r>
              <w:rPr>
                <w:rStyle w:val="row-content-rich-text"/>
              </w:rPr>
              <w:t xml:space="preserve">is evidenced by an individualised formal mental health assessment and the implementation of a documented mental health plan; and</w:t>
            </w:r>
          </w:p>
          <w:p>
            <w:pPr>
              <w:pStyle w:val="ListParagraph"/>
              <w:numPr>
                <w:ilvl w:val="0"/>
                <w:numId w:val="12"/>
              </w:numPr>
            </w:pPr>
            <w:r>
              <w:rPr>
                <w:rStyle w:val="row-content-rich-text"/>
              </w:rPr>
              <w:t xml:space="preserve">may include significant psychosocial components, including family and carer support.</w:t>
            </w:r>
          </w:p>
          <w:p>
            <w:pPr>
              <w:spacing w:after="160"/>
            </w:pPr>
            <w:r>
              <w:rPr>
                <w:rStyle w:val="row-content-rich-text"/>
              </w:rPr>
              <w:t xml:space="preserve"> </w:t>
            </w:r>
          </w:p>
          <w:p>
            <w:pPr>
              <w:spacing w:after="160"/>
            </w:pPr>
            <w:r>
              <w:rPr>
                <w:rStyle w:val="row-content-rich-text"/>
              </w:rPr>
              <w:t xml:space="preserve">CODE 13 Organ procurement (posthumous)</w:t>
            </w:r>
          </w:p>
          <w:p>
            <w:pPr>
              <w:pStyle w:val="ListParagraph"/>
              <w:numPr>
                <w:ilvl w:val="0"/>
                <w:numId w:val="13"/>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13"/>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 </w:t>
            </w:r>
          </w:p>
          <w:p>
            <w:pPr>
              <w:spacing w:after="160"/>
            </w:pPr>
            <w:r>
              <w:rPr>
                <w:rStyle w:val="row-content-rich-text"/>
              </w:rPr>
              <w:t xml:space="preserve">CODE 99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r>
              <w:rPr>
                <w:rStyle w:val="row-content-rich-text"/>
              </w:rPr>
              <w:t xml:space="preserve">A patient can only enter a Transitional Care Program immediately on discharge from their Acute or Subacute episode of care. Can ca be delivered in either a residential or community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bc8b647db3406e">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aa1f79210570484c">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a039f2979c9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11dfd430a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39f2979c947b9" /><Relationship Type="http://schemas.openxmlformats.org/officeDocument/2006/relationships/header" Target="/word/header1.xml" Id="Rbe568b007aac4af0" /><Relationship Type="http://schemas.openxmlformats.org/officeDocument/2006/relationships/settings" Target="/word/settings.xml" Id="R6256a972cae042a8" /><Relationship Type="http://schemas.openxmlformats.org/officeDocument/2006/relationships/styles" Target="/word/styles.xml" Id="Rd16568a7a47d4b37" /><Relationship Type="http://schemas.openxmlformats.org/officeDocument/2006/relationships/hyperlink" Target="https://meteor.aihw.gov.au/RegistrationAuthority/15" TargetMode="External" Id="R108c0175714e47e6" /><Relationship Type="http://schemas.openxmlformats.org/officeDocument/2006/relationships/hyperlink" Target="https://meteor.aihw.gov.au/content/711000" TargetMode="External" Id="R4344f92c042d43bd" /><Relationship Type="http://schemas.openxmlformats.org/officeDocument/2006/relationships/hyperlink" Target="https://meteor.aihw.gov.au/content/510083" TargetMode="External" Id="R7f30a506cba24d33" /><Relationship Type="http://schemas.openxmlformats.org/officeDocument/2006/relationships/hyperlink" Target="https://meteor.aihw.gov.au/content/786728" TargetMode="External" Id="R5f09eac92c864cd6" /><Relationship Type="http://schemas.openxmlformats.org/officeDocument/2006/relationships/numbering" Target="/word/numbering.xml" Id="R947b8834bd664795" /><Relationship Type="http://schemas.openxmlformats.org/officeDocument/2006/relationships/hyperlink" Target="https://meteor.aihw.gov.au/content/786779" TargetMode="External" Id="R7ebc8b647db3406e" /><Relationship Type="http://schemas.openxmlformats.org/officeDocument/2006/relationships/hyperlink" Target="https://meteor.aihw.gov.au/RegistrationAuthority/15" TargetMode="External" Id="Raa1f79210570484c" /></Relationships>
</file>

<file path=word/_rels/header1.xml.rels>&#65279;<?xml version="1.0" encoding="utf-8"?><Relationships xmlns="http://schemas.openxmlformats.org/package/2006/relationships"><Relationship Type="http://schemas.openxmlformats.org/officeDocument/2006/relationships/image" Target="/media/image.png" Id="R8d611dfd430a489e" /></Relationships>
</file>