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c9a7837688411a" /></Relationships>
</file>

<file path=word/document.xml><?xml version="1.0" encoding="utf-8"?>
<w:document xmlns:r="http://schemas.openxmlformats.org/officeDocument/2006/relationships" xmlns:w="http://schemas.openxmlformats.org/wordprocessingml/2006/main">
  <w:body>
    <w:p>
      <w:pPr>
        <w:pStyle w:val="Title"/>
      </w:pPr>
      <w:r>
        <w:t>Tasmania Private Hospital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 Private Hospital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37d51764448b3">
              <w:r>
                <w:rPr>
                  <w:rStyle w:val="Hyperlink"/>
                  <w:color w:val="244061"/>
                </w:rPr>
                <w:t xml:space="preserve">Tasmanian Health</w:t>
              </w:r>
            </w:hyperlink>
            <w:r>
              <w:rPr>
                <w:rStyle w:val="row-content"/>
                <w:color w:val="244061"/>
              </w:rPr>
              <w:t xml:space="preserve">, Standard 20/11/2023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Tasmanian Private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Public (medicare)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MVA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Seaman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Common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Contracted patient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Unqualified neonate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Public (Medicare) </w:t>
            </w:r>
          </w:p>
          <w:p>
            <w:pPr>
              <w:spacing w:after="160"/>
            </w:pPr>
            <w:r>
              <w:rPr>
                <w:rStyle w:val="row-content-rich-text"/>
              </w:rPr>
              <w:t xml:space="preserve">On admission to hospital, a Medicare eligible patient must elect to be as either a public or private patient.</w:t>
            </w:r>
          </w:p>
          <w:p>
            <w:pPr>
              <w:spacing w:after="160"/>
            </w:pPr>
            <w:r>
              <w:rPr>
                <w:rStyle w:val="row-content-rich-text"/>
              </w:rPr>
              <w:t xml:space="preserve">A public patient is a patient who:</w:t>
            </w:r>
          </w:p>
          <w:p>
            <w:pPr>
              <w:spacing w:after="160"/>
            </w:pPr>
            <w:r>
              <w:rPr>
                <w:rStyle w:val="row-content-rich-text"/>
              </w:rPr>
              <w:t xml:space="preserve">Elects to be treated as a public patient, and so cannot choose the doctor who treats them, or</w:t>
            </w:r>
          </w:p>
          <w:p>
            <w:pPr>
              <w:spacing w:after="160"/>
            </w:pPr>
            <w:r>
              <w:rPr>
                <w:rStyle w:val="row-content-rich-text"/>
              </w:rPr>
              <w:t xml:space="preserve">Is receiving treatment in a private hospital under a contract arrangement with a public hospital or health authority.</w:t>
            </w:r>
          </w:p>
          <w:p>
            <w:pPr>
              <w:spacing w:after="160"/>
            </w:pPr>
            <w:r>
              <w:rPr>
                <w:rStyle w:val="row-content-rich-text"/>
              </w:rPr>
              <w:t xml:space="preserve">A public patient who is allocated single room accommodation due to clinical need is still a public patient</w:t>
            </w:r>
          </w:p>
          <w:p>
            <w:pPr>
              <w:spacing w:after="160"/>
            </w:pPr>
            <w:r>
              <w:rPr>
                <w:rStyle w:val="row-content-rich-text"/>
              </w:rPr>
              <w:t xml:space="preserve"> </w:t>
            </w:r>
          </w:p>
          <w:p>
            <w:pPr>
              <w:spacing w:after="160"/>
            </w:pPr>
            <w:r>
              <w:rPr>
                <w:rStyle w:val="row-content-rich-text"/>
              </w:rPr>
              <w:t xml:space="preserve">CODE 02 Worker's compensation</w:t>
            </w:r>
          </w:p>
          <w:p>
            <w:pPr>
              <w:spacing w:after="160"/>
            </w:pPr>
            <w:r>
              <w:rPr>
                <w:rStyle w:val="row-content-rich-text"/>
              </w:rPr>
              <w:t xml:space="preserve">Use where the costs associated with this episode of care is covered by workers' compensation insurance.</w:t>
            </w:r>
          </w:p>
          <w:p>
            <w:pPr>
              <w:spacing w:after="160"/>
            </w:pPr>
            <w:r>
              <w:rPr>
                <w:rStyle w:val="row-content-rich-text"/>
              </w:rPr>
              <w:t xml:space="preserve"> </w:t>
            </w:r>
          </w:p>
          <w:p>
            <w:pPr>
              <w:spacing w:after="160"/>
            </w:pPr>
            <w:r>
              <w:rPr>
                <w:rStyle w:val="row-content-rich-text"/>
              </w:rPr>
              <w:t xml:space="preserve">CODE 03 MVA (third party)</w:t>
            </w:r>
          </w:p>
          <w:p>
            <w:pPr>
              <w:spacing w:after="160"/>
            </w:pPr>
            <w:r>
              <w:rPr>
                <w:rStyle w:val="row-content-rich-text"/>
              </w:rPr>
              <w:t xml:space="preserve">Use where the patient is or may be legally entitled to claim damages and hospital fees and charges against the Motor Accidents Insurance Board (MAIB).</w:t>
            </w:r>
          </w:p>
          <w:p>
            <w:pPr>
              <w:spacing w:after="160"/>
            </w:pPr>
            <w:r>
              <w:rPr>
                <w:rStyle w:val="row-content-rich-text"/>
              </w:rPr>
              <w:t xml:space="preserve"> </w:t>
            </w:r>
          </w:p>
          <w:p>
            <w:pPr>
              <w:spacing w:after="160"/>
            </w:pPr>
            <w:r>
              <w:rPr>
                <w:rStyle w:val="row-content-rich-text"/>
              </w:rPr>
              <w:t xml:space="preserve">CODE 04 Overseas Visitor</w:t>
            </w:r>
          </w:p>
          <w:p>
            <w:pPr>
              <w:spacing w:after="160"/>
            </w:pPr>
            <w:r>
              <w:rPr>
                <w:rStyle w:val="row-content-rich-text"/>
              </w:rPr>
              <w:t xml:space="preserve">Use for patients who are a non-resident of Australia.</w:t>
            </w:r>
          </w:p>
          <w:p>
            <w:pPr>
              <w:spacing w:after="160"/>
            </w:pPr>
            <w:r>
              <w:rPr>
                <w:rStyle w:val="row-content-rich-text"/>
              </w:rPr>
              <w:t xml:space="preserve"> </w:t>
            </w:r>
          </w:p>
          <w:p>
            <w:pPr>
              <w:spacing w:after="160"/>
            </w:pPr>
            <w:r>
              <w:rPr>
                <w:rStyle w:val="row-content-rich-text"/>
              </w:rPr>
              <w:t xml:space="preserve">CODE 05 Department of Veterans' Affairs</w:t>
            </w:r>
          </w:p>
          <w:p>
            <w:pPr>
              <w:spacing w:after="160"/>
            </w:pPr>
            <w:r>
              <w:rPr>
                <w:rStyle w:val="row-content-rich-text"/>
              </w:rPr>
              <w:t xml:space="preserve">Use where the Department of Veterans' Affairs has agreed to accept responsibility for hospital fees and charges for the procedure, treatment or services being received.  </w:t>
            </w:r>
          </w:p>
          <w:p>
            <w:pPr>
              <w:spacing w:after="160"/>
            </w:pPr>
            <w:r>
              <w:rPr>
                <w:rStyle w:val="row-content-rich-text"/>
              </w:rPr>
              <w:t xml:space="preserve"> </w:t>
            </w:r>
          </w:p>
          <w:p>
            <w:pPr>
              <w:spacing w:after="160"/>
            </w:pPr>
            <w:r>
              <w:rPr>
                <w:rStyle w:val="row-content-rich-text"/>
              </w:rPr>
              <w:t xml:space="preserve">CODE 06 Department of Defence</w:t>
            </w:r>
          </w:p>
          <w:p>
            <w:pPr>
              <w:spacing w:after="160"/>
            </w:pPr>
            <w:r>
              <w:rPr>
                <w:rStyle w:val="row-content-rich-text"/>
              </w:rPr>
              <w:t xml:space="preserve">Use for patients where the public hospital fees and charges associated with this episode of care are covered by the Defence Forces.</w:t>
            </w:r>
          </w:p>
          <w:p>
            <w:pPr>
              <w:spacing w:after="160"/>
            </w:pPr>
            <w:r>
              <w:rPr>
                <w:rStyle w:val="row-content-rich-text"/>
              </w:rPr>
              <w:t xml:space="preserve"> </w:t>
            </w:r>
          </w:p>
          <w:p>
            <w:pPr>
              <w:spacing w:after="160"/>
            </w:pPr>
            <w:r>
              <w:rPr>
                <w:rStyle w:val="row-content-rich-text"/>
              </w:rPr>
              <w:t xml:space="preserve">CODE 07 Seamen</w:t>
            </w:r>
          </w:p>
          <w:p>
            <w:pPr>
              <w:spacing w:after="160"/>
            </w:pPr>
            <w:r>
              <w:rPr>
                <w:rStyle w:val="row-content-rich-text"/>
              </w:rPr>
              <w:t xml:space="preserve">Use where the costs associated with this episode of care is covered by seaman insurance.</w:t>
            </w:r>
          </w:p>
          <w:p>
            <w:pPr>
              <w:spacing w:after="160"/>
            </w:pPr>
            <w:r>
              <w:rPr>
                <w:rStyle w:val="row-content-rich-text"/>
              </w:rPr>
              <w:t xml:space="preserve"> </w:t>
            </w:r>
          </w:p>
          <w:p>
            <w:pPr>
              <w:spacing w:after="160"/>
            </w:pPr>
            <w:r>
              <w:rPr>
                <w:rStyle w:val="row-content-rich-text"/>
              </w:rPr>
              <w:t xml:space="preserve">CODE 08 Nursing home type</w:t>
            </w:r>
          </w:p>
          <w:p>
            <w:pPr>
              <w:spacing w:after="160"/>
            </w:pPr>
            <w:r>
              <w:rPr>
                <w:rStyle w:val="row-content-rich-text"/>
              </w:rPr>
              <w:t xml:space="preserve">These patients are persons who have elected to be receive treatment free of fees and charge but require nursing home care.   These patients are required to pay a fee while admitted in a public hospital in the same way as residents in nursing homes do.</w:t>
            </w:r>
          </w:p>
          <w:p>
            <w:pPr>
              <w:spacing w:after="160"/>
            </w:pPr>
            <w:r>
              <w:rPr>
                <w:rStyle w:val="row-content-rich-text"/>
              </w:rPr>
              <w:t xml:space="preserve">By definition, a NHTP is a patient who has been in hospital for a continuous period exceeding 35 days and does not have a current Acute Care Certificate issued by a medical officer.</w:t>
            </w:r>
          </w:p>
          <w:p>
            <w:pPr>
              <w:spacing w:after="160"/>
            </w:pPr>
            <w:r>
              <w:rPr>
                <w:rStyle w:val="row-content-rich-text"/>
              </w:rPr>
              <w:t xml:space="preserve"> </w:t>
            </w:r>
          </w:p>
          <w:p>
            <w:pPr>
              <w:spacing w:after="160"/>
            </w:pPr>
            <w:r>
              <w:rPr>
                <w:rStyle w:val="row-content-rich-text"/>
              </w:rPr>
              <w:t xml:space="preserve">CODE 09 Private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 </w:t>
            </w:r>
          </w:p>
          <w:p>
            <w:pPr>
              <w:spacing w:after="160"/>
            </w:pPr>
            <w:r>
              <w:rPr>
                <w:rStyle w:val="row-content-rich-text"/>
              </w:rPr>
              <w:t xml:space="preserve">CODE 10 Common law</w:t>
            </w:r>
          </w:p>
          <w:p>
            <w:pPr>
              <w:spacing w:after="160"/>
            </w:pPr>
            <w:r>
              <w:rPr>
                <w:rStyle w:val="row-content-rich-text"/>
              </w:rPr>
              <w:t xml:space="preserve">Used for all patients who are or may be legally entitled to claim damages under public liability or common law.</w:t>
            </w:r>
          </w:p>
          <w:p>
            <w:pPr>
              <w:spacing w:after="160"/>
            </w:pPr>
            <w:r>
              <w:rPr>
                <w:rStyle w:val="row-content-rich-text"/>
              </w:rPr>
              <w:t xml:space="preserve"> </w:t>
            </w:r>
          </w:p>
          <w:p>
            <w:pPr>
              <w:spacing w:after="160"/>
            </w:pPr>
            <w:r>
              <w:rPr>
                <w:rStyle w:val="row-content-rich-text"/>
              </w:rPr>
              <w:t xml:space="preserve">CODE 11 Boarder</w:t>
            </w:r>
          </w:p>
          <w:p>
            <w:pPr>
              <w:spacing w:after="160"/>
            </w:pPr>
            <w:r>
              <w:rPr>
                <w:rStyle w:val="row-content-rich-text"/>
              </w:rPr>
              <w:t xml:space="preserve">Use for persons who are receiving food and/or accommodation at the hospital but for whom the hospital does not accept responsibility for treatment and/or care.</w:t>
            </w:r>
          </w:p>
          <w:p>
            <w:pPr>
              <w:spacing w:after="160"/>
            </w:pPr>
            <w:r>
              <w:rPr>
                <w:rStyle w:val="row-content-rich-text"/>
              </w:rPr>
              <w:t xml:space="preserve"> </w:t>
            </w:r>
          </w:p>
          <w:p>
            <w:pPr>
              <w:spacing w:after="160"/>
            </w:pPr>
            <w:r>
              <w:rPr>
                <w:rStyle w:val="row-content-rich-text"/>
              </w:rPr>
              <w:t xml:space="preserve">CODE 12 Contracted patient</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 </w:t>
            </w:r>
          </w:p>
          <w:p>
            <w:pPr>
              <w:spacing w:after="160"/>
            </w:pPr>
            <w:r>
              <w:rPr>
                <w:rStyle w:val="row-content-rich-text"/>
              </w:rPr>
              <w:t xml:space="preserve">CODE 14 Unqualified neonate</w:t>
            </w:r>
          </w:p>
          <w:p>
            <w:pPr>
              <w:spacing w:after="160"/>
            </w:pPr>
            <w:r>
              <w:rPr>
                <w:rStyle w:val="row-content-rich-text"/>
              </w:rPr>
              <w:t xml:space="preserve">Use if the unqualified newborn is nine days old or less and does not meet the criteria for being admitted under the care type Acute incl qual newborn.</w:t>
            </w:r>
          </w:p>
          <w:p>
            <w:pPr>
              <w:spacing w:after="160"/>
            </w:pPr>
            <w:r>
              <w:rPr>
                <w:rStyle w:val="row-content-rich-text"/>
              </w:rPr>
              <w:t xml:space="preserve">A qualified newborn will usually take the Medicare eligibility status of the mother.</w:t>
            </w:r>
          </w:p>
          <w:p>
            <w:pPr>
              <w:spacing w:after="160"/>
            </w:pPr>
            <w:r>
              <w:rPr>
                <w:rStyle w:val="row-content-rich-text"/>
              </w:rPr>
              <w:t xml:space="preserve">Stillborn babies are not admitted, but should be registered (providing this meets the Tasmanian Births, Deaths and Marriages Registration Act 1999). </w:t>
            </w:r>
          </w:p>
          <w:p>
            <w:pPr>
              <w:spacing w:after="160"/>
            </w:pPr>
            <w:r>
              <w:rPr>
                <w:rStyle w:val="row-content-rich-text"/>
              </w:rPr>
              <w:t xml:space="preserve"> </w:t>
            </w:r>
          </w:p>
          <w:p>
            <w:pPr>
              <w:spacing w:after="160"/>
            </w:pPr>
            <w:r>
              <w:rPr>
                <w:rStyle w:val="row-content-rich-text"/>
              </w:rPr>
              <w:t xml:space="preserve">CODE 20 Self funded</w:t>
            </w:r>
          </w:p>
          <w:p>
            <w:pPr>
              <w:spacing w:after="160"/>
            </w:pPr>
            <w:r>
              <w:rPr>
                <w:rStyle w:val="row-content-rich-text"/>
              </w:rPr>
              <w:t xml:space="preserve">This code includes funded by the patient, by the patient's family or friends, or by other benefactors.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d734311a3e4605">
              <w:r>
                <w:rPr>
                  <w:rStyle w:val="Hyperlink"/>
                </w:rPr>
                <w:t xml:space="preserve">Episode of care—source of funding, tasmania private hospital patient funding source code NN</w:t>
              </w:r>
            </w:hyperlink>
          </w:p>
          <w:p>
            <w:pPr>
              <w:spacing w:before="0" w:after="0"/>
            </w:pPr>
            <w:r>
              <w:rPr>
                <w:rStyle w:val="row-content"/>
                <w:color w:val="244061"/>
              </w:rPr>
              <w:t xml:space="preserve">       </w:t>
            </w:r>
            <w:hyperlink w:history="true" r:id="R4a6a232821f04b7d">
              <w:r>
                <w:rPr>
                  <w:rStyle w:val="Hyperlink"/>
                  <w:color w:val="244061"/>
                </w:rPr>
                <w:t xml:space="preserve">Tasmanian Health</w:t>
              </w:r>
            </w:hyperlink>
            <w:r>
              <w:rPr>
                <w:rStyle w:val="row-content"/>
                <w:color w:val="244061"/>
              </w:rPr>
              <w:t xml:space="preserve">, Standard 20/11/2023</w:t>
            </w:r>
          </w:p>
          <w:p>
            <w:r>
              <w:br/>
            </w:r>
          </w:p>
        </w:tc>
      </w:tr>
    </w:tbl>
    <w:p>
      <w:r>
        <w:br/>
      </w:r>
    </w:p>
    <w:sectPr>
      <w:footerReference xmlns:r="http://schemas.openxmlformats.org/officeDocument/2006/relationships" w:type="default" r:id="R093fa94a0a2448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786699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fe0fae725e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fa94a0a244845" /><Relationship Type="http://schemas.openxmlformats.org/officeDocument/2006/relationships/header" Target="/word/header1.xml" Id="R742835a18e63407d" /><Relationship Type="http://schemas.openxmlformats.org/officeDocument/2006/relationships/settings" Target="/word/settings.xml" Id="Rd04eb76c727e4e00" /><Relationship Type="http://schemas.openxmlformats.org/officeDocument/2006/relationships/styles" Target="/word/styles.xml" Id="Rfd48ff71ff8b414c" /><Relationship Type="http://schemas.openxmlformats.org/officeDocument/2006/relationships/hyperlink" Target="https://meteor.aihw.gov.au/RegistrationAuthority/15" TargetMode="External" Id="R2d537d51764448b3" /><Relationship Type="http://schemas.openxmlformats.org/officeDocument/2006/relationships/hyperlink" Target="https://meteor.aihw.gov.au/content/786701" TargetMode="External" Id="Rb2d734311a3e4605" /><Relationship Type="http://schemas.openxmlformats.org/officeDocument/2006/relationships/hyperlink" Target="https://meteor.aihw.gov.au/RegistrationAuthority/15" TargetMode="External" Id="R4a6a232821f04b7d" /></Relationships>
</file>

<file path=word/_rels/header1.xml.rels>&#65279;<?xml version="1.0" encoding="utf-8"?><Relationships xmlns="http://schemas.openxmlformats.org/package/2006/relationships"><Relationship Type="http://schemas.openxmlformats.org/officeDocument/2006/relationships/image" Target="/media/image.png" Id="R41fe0fae725e416e" /></Relationships>
</file>