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a5e226fb44e8a" /></Relationships>
</file>

<file path=word/document.xml><?xml version="1.0" encoding="utf-8"?>
<w:document xmlns:r="http://schemas.openxmlformats.org/officeDocument/2006/relationships" xmlns:w="http://schemas.openxmlformats.org/wordprocessingml/2006/main">
  <w:body>
    <w:p>
      <w:pPr>
        <w:pStyle w:val="Title"/>
      </w:pPr>
      <w:r>
        <w:t>Person—sex/gender,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df73844984744">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e68cb3471247d3">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d2bd708b274783">
              <w:r>
                <w:rPr>
                  <w:rStyle w:val="Hyperlink"/>
                </w:rPr>
                <w:t xml:space="preserve">Tasmanian 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8392d934757d4b03">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7f99866b3fc84ba2">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I     Intersex or indeterminate </w:t>
            </w:r>
          </w:p>
          <w:p>
            <w:pPr/>
            <w:r>
              <w:rPr>
                <w:rStyle w:val="row-content-rich-text"/>
              </w:rPr>
              <w:t xml:space="preserve">Persons who have mixed or non-binary biological characteristics (if known), or a non-binary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 place holder until Tasmanian data collection systems can collect both Sex and Gender appropriately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92aa0bc2ab0047d5">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8e0ecf300cf44081">
              <w:r>
                <w:rPr>
                  <w:rStyle w:val="Hyperlink"/>
                </w:rPr>
                <w:t xml:space="preserve">https://www.legislation.tas.gov.au/view/whole/html/asmade/act-2019-007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1cc8283e2a4b76">
              <w:r>
                <w:rPr>
                  <w:rStyle w:val="Hyperlink"/>
                </w:rPr>
                <w:t xml:space="preserve">Person related data elements (TDLU) cluster</w:t>
              </w:r>
            </w:hyperlink>
          </w:p>
          <w:p>
            <w:pPr>
              <w:pStyle w:val="registration-status"/>
              <w:spacing w:before="0" w:after="0"/>
            </w:pPr>
            <w:hyperlink w:history="true" r:id="Rae8d2017ca9b4ac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dc4254bc09e4e18">
              <w:r>
                <w:rPr>
                  <w:rStyle w:val="Hyperlink"/>
                </w:rPr>
                <w:t xml:space="preserve">Tasmanian Demographics Data Set - 2023</w:t>
              </w:r>
            </w:hyperlink>
          </w:p>
          <w:p>
            <w:pPr>
              <w:pStyle w:val="registration-status"/>
              <w:spacing w:before="0" w:after="0"/>
            </w:pPr>
            <w:hyperlink w:history="true" r:id="R8f28ee7d771842b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e7c53f42d36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709837c1c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c53f42d364ebe" /><Relationship Type="http://schemas.openxmlformats.org/officeDocument/2006/relationships/header" Target="/word/header1.xml" Id="R5758931c9ba24b4b" /><Relationship Type="http://schemas.openxmlformats.org/officeDocument/2006/relationships/settings" Target="/word/settings.xml" Id="Rbe03a06ed7b34ba2" /><Relationship Type="http://schemas.openxmlformats.org/officeDocument/2006/relationships/styles" Target="/word/styles.xml" Id="Rcf6c66e68f0e4ec0" /><Relationship Type="http://schemas.openxmlformats.org/officeDocument/2006/relationships/hyperlink" Target="https://meteor.aihw.gov.au/RegistrationAuthority/15" TargetMode="External" Id="R5dedf73844984744" /><Relationship Type="http://schemas.openxmlformats.org/officeDocument/2006/relationships/hyperlink" Target="https://meteor.aihw.gov.au/content/671715" TargetMode="External" Id="Rf9e68cb3471247d3" /><Relationship Type="http://schemas.openxmlformats.org/officeDocument/2006/relationships/hyperlink" Target="https://meteor.aihw.gov.au/content/785571" TargetMode="External" Id="Ra8d2bd708b274783" /><Relationship Type="http://schemas.openxmlformats.org/officeDocument/2006/relationships/hyperlink" Target="http://abs.gov.au/ausstats/abs@.nsf/latestProducts/1200.0.55.012Media Release12016" TargetMode="External" Id="R8392d934757d4b03" /><Relationship Type="http://schemas.openxmlformats.org/officeDocument/2006/relationships/hyperlink" Target="https://www.ag.gov.au/Publications/Pages/AustralianGovernmentGuidelinesontheRecognitionofSexandGender.aspx" TargetMode="External" Id="R7f99866b3fc84ba2" /><Relationship Type="http://schemas.openxmlformats.org/officeDocument/2006/relationships/hyperlink" Target="http://abs.gov.au/ausstats/abs@.nsf/latestProducts/1200.0.55.012Media Release12016" TargetMode="External" Id="R92aa0bc2ab0047d5" /><Relationship Type="http://schemas.openxmlformats.org/officeDocument/2006/relationships/hyperlink" Target="https://www.legislation.tas.gov.au/view/whole/html/asmade/act-2019-007" TargetMode="External" Id="R8e0ecf300cf44081" /><Relationship Type="http://schemas.openxmlformats.org/officeDocument/2006/relationships/hyperlink" Target="https://meteor.aihw.gov.au/content/785630" TargetMode="External" Id="R371cc8283e2a4b76" /><Relationship Type="http://schemas.openxmlformats.org/officeDocument/2006/relationships/hyperlink" Target="https://meteor.aihw.gov.au/RegistrationAuthority/15" TargetMode="External" Id="Rae8d2017ca9b4ac0" /><Relationship Type="http://schemas.openxmlformats.org/officeDocument/2006/relationships/hyperlink" Target="https://meteor.aihw.gov.au/content/774315" TargetMode="External" Id="R7dc4254bc09e4e18" /><Relationship Type="http://schemas.openxmlformats.org/officeDocument/2006/relationships/hyperlink" Target="https://meteor.aihw.gov.au/RegistrationAuthority/15" TargetMode="External" Id="R8f28ee7d771842bb" /></Relationships>
</file>

<file path=word/_rels/header1.xml.rels>&#65279;<?xml version="1.0" encoding="utf-8"?><Relationships xmlns="http://schemas.openxmlformats.org/package/2006/relationships"><Relationship Type="http://schemas.openxmlformats.org/officeDocument/2006/relationships/image" Target="/media/image.png" Id="R6e9709837c1c444f" /></Relationships>
</file>