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2586e9bcdc47fe" /></Relationships>
</file>

<file path=word/document.xml><?xml version="1.0" encoding="utf-8"?>
<w:document xmlns:r="http://schemas.openxmlformats.org/officeDocument/2006/relationships" xmlns:w="http://schemas.openxmlformats.org/wordprocessingml/2006/main">
  <w:body>
    <w:p>
      <w:pPr>
        <w:pStyle w:val="Title"/>
      </w:pPr>
      <w:r>
        <w:t>Online Services Report (OSR) for Aboriginal and Torres Strait Islander specific primary health care organisations, 2022–23;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for Aboriginal and Torres Strait Islander specific primary health care organisations,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060aed5184c5c">
              <w:r>
                <w:rPr>
                  <w:rStyle w:val="Hyperlink"/>
                  <w:color w:val="244061"/>
                </w:rPr>
                <w:t xml:space="preserve">AIHW Data Quality Statements</w:t>
              </w:r>
            </w:hyperlink>
            <w:r>
              <w:rPr>
                <w:rStyle w:val="row-content"/>
                <w:color w:val="244061"/>
              </w:rPr>
              <w:t xml:space="preserve">, Standard 30/01/2024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(First Nations)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The data items collected varies by period.</w:t>
            </w:r>
          </w:p>
          <w:p>
            <w:pPr>
              <w:pStyle w:val="ListParagraph"/>
              <w:numPr>
                <w:ilvl w:val="0"/>
                <w:numId w:val="2"/>
              </w:numPr>
            </w:pPr>
            <w:r>
              <w:rPr>
                <w:rStyle w:val="row-content-rich-text"/>
              </w:rPr>
              <w:t xml:space="preserve">Reporting for the 2019–20 and 2020–21 periods was voluntary rather than mandatory.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e85af7f1a5dd44a1">
              <w:r>
                <w:rPr>
                  <w:rStyle w:val="Hyperlink"/>
                  <w:i/>
                </w:rPr>
                <w:t xml:space="preserve">Australian Institute of Health and Welfare Act 1987</w:t>
              </w:r>
            </w:hyperlink>
            <w:r>
              <w:rPr>
                <w:rStyle w:val="row-content-rich-text"/>
              </w:rPr>
              <w:t xml:space="preserve"> (AIHW Act), governed by a </w:t>
            </w:r>
            <w:hyperlink w:history="true" r:id="Re36f19864fae477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3d4a55d056ce437b">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e69951f87054ee3">
              <w:r>
                <w:rPr>
                  <w:rStyle w:val="Hyperlink"/>
                </w:rPr>
                <w:t xml:space="preserve">www.aihw.gov.au/about-us</w:t>
              </w:r>
            </w:hyperlink>
            <w:r>
              <w:rPr>
                <w:rStyle w:val="row-content-rich-text"/>
              </w:rPr>
              <w:t xml:space="preserve">, which includes details about the AIHW’s governance (</w:t>
            </w:r>
            <w:hyperlink w:history="true" r:id="Rb7f0479896ff4b0c">
              <w:r>
                <w:rPr>
                  <w:rStyle w:val="Hyperlink"/>
                </w:rPr>
                <w:t xml:space="preserve">www.aihw.gov.au/about-us/our-governance</w:t>
              </w:r>
            </w:hyperlink>
            <w:r>
              <w:rPr>
                <w:rStyle w:val="row-content-rich-text"/>
              </w:rPr>
              <w:t xml:space="preserve">) and our role and strategic goals (</w:t>
            </w:r>
            <w:hyperlink w:history="true" r:id="R71603734cba14c0c">
              <w:r>
                <w:rPr>
                  <w:rStyle w:val="Hyperlink"/>
                </w:rPr>
                <w:t xml:space="preserve">www.aihw.gov.au/about-us/what-we-do</w:t>
              </w:r>
            </w:hyperlink>
            <w:r>
              <w:rPr>
                <w:rStyle w:val="row-content-rich-text"/>
              </w:rPr>
              <w:t xml:space="preserve">).</w:t>
            </w:r>
          </w:p>
          <w:p>
            <w:pPr/>
            <w:r>
              <w:rPr>
                <w:rStyle w:val="row-content-rich-text"/>
              </w:rPr>
              <w:t xml:space="preserve">The OSR data are submitted via the Department of Health and Aged Care’s Health Data Portal (HDP). Cleaned and finalised data from organisations are transferred from the HDP to a data storage facility, the Department of Health and Aged Care’s Enterprise Data Warehouse (EDW). The AIHW has access to the data in order to investigate and improve data quality; compile a national reporting dataset; produce reports;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2022–23 collection covers the period 1 July 2022 to 30 June 2023.</w:t>
            </w:r>
          </w:p>
          <w:p>
            <w:pPr>
              <w:spacing w:after="160"/>
            </w:pPr>
            <w:r>
              <w:rPr>
                <w:rStyle w:val="row-content-rich-text"/>
              </w:rPr>
              <w:t xml:space="preserve">The national reporting dataset cannot be compiled until the Department of Health and Aged Care closes off data submission and submitted data are cleaned and finalised. Up to that date, the AIHW works with organisations to resolve errors or, if unresolved data quality issues remained, to flag the data for exclusion from the national reporting dataset. For the 2022–23 collection, data submission started 1 July 2023 and data were finalised 27 September 2023.</w:t>
            </w:r>
          </w:p>
          <w:p>
            <w:pPr/>
            <w:r>
              <w:rPr>
                <w:rStyle w:val="row-content-rich-text"/>
              </w:rPr>
              <w:t xml:space="preserve">Data from the national reporting dataset were released via the AIHW website 30 January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2022–23 are published in </w:t>
            </w:r>
            <w:hyperlink w:history="true" r:id="Rb397bb6058464f57">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b75fde86fd9a478e">
              <w:r>
                <w:rPr>
                  <w:rStyle w:val="Hyperlink"/>
                </w:rPr>
                <w:t xml:space="preserve">dataquality@aihw.gov.au</w:t>
              </w:r>
            </w:hyperlink>
            <w:r>
              <w:rPr>
                <w:rStyle w:val="row-content-rich-text"/>
              </w:rPr>
              <w:t xml:space="preserve"> or via the </w:t>
            </w:r>
            <w:hyperlink w:history="true" r:id="Ree37aca4fbcd4ec2">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bc3fce96aff84be3">
              <w:r>
                <w:rPr>
                  <w:rStyle w:val="Hyperlink"/>
                </w:rPr>
                <w:t xml:space="preserve">Technical appendix</w:t>
              </w:r>
            </w:hyperlink>
            <w:r>
              <w:rPr>
                <w:rStyle w:val="row-content-rich-text"/>
              </w:rPr>
              <w:t xml:space="preserve"> and </w:t>
            </w:r>
            <w:hyperlink w:history="true" r:id="Ra31582a8006341b2">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2022–23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They provide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2022–23 collection is 1 July 2022 to 30 June 2023.</w:t>
            </w:r>
          </w:p>
          <w:p>
            <w:pPr/>
            <w:r>
              <w:rPr>
                <w:rStyle w:val="row-content-rich-text"/>
              </w:rPr>
              <w:t xml:space="preserve">Data are available at the national, state/territory and remoteness area levels. In 2022–23 geographic information is recorded based on the physical address of the main site of the organisation. This is used for analysis at jurisdictional and remoteness level. In 2022–23 information was collected on the address of each service delivery site, the catchment area, the type of services provided, the availability of services and the estimated number of clients at each site; however, all other information was collected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the 2022–23 collection, 232 (99.6%) of the 233 organisations that were in-scope to report submitted data. Of the 214 primary health care organisations, 213 (99.5%) submitted data.</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and Aged Care. For 2022–23, the AIHW returned data to 93 out of the 232 organisations who reported that period. Where unresolved data quality issues are identified, the AIHW excludes these data from the national reporting dataset. For the 2022–23 collection, 2 (1%) organisations overall had unresolved validation issues affecting 2 data items at the close of the reporting cycle. Of the primary health care organisations, 2 (1%) organisations had unresolved validation issues affecting 2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spacing w:after="160"/>
            </w:pPr>
            <w:r>
              <w:rPr>
                <w:rStyle w:val="row-content-rich-text"/>
              </w:rPr>
              <w:t xml:space="preserve">Some organisations were unable to provide exact data and provided estimates of client numbers and episodes of care. In the 2022–23 collection, 26 (11%) organisations estimated their episodes of care and 18 (8%) estimated their client numbers. Of the 213 primary health care organisations, 21 (10%) estimated their episodes of care and 18 (8%) estimated their client numbers. These data were accepted unless the AIHW assessed their data were likely to overestimate actual numbers.</w:t>
            </w:r>
          </w:p>
          <w:p>
            <w:pPr>
              <w:spacing w:after="160"/>
            </w:pPr>
            <w:r>
              <w:rPr>
                <w:rStyle w:val="row-content-rich-text"/>
              </w:rPr>
              <w:t xml:space="preserve">Most health FTE positions reported have a corresponding number of client contacts. However, organisations may report FTEs without client contacts, for example, if:</w:t>
            </w:r>
          </w:p>
          <w:p>
            <w:pPr>
              <w:pStyle w:val="ListParagraph"/>
              <w:numPr>
                <w:ilvl w:val="0"/>
                <w:numId w:val="3"/>
              </w:numPr>
            </w:pPr>
            <w:r>
              <w:rPr>
                <w:rStyle w:val="row-content-rich-text"/>
              </w:rPr>
              <w:t xml:space="preserve">the FTE position only ran group activities, as group activities are not included in client contacts</w:t>
            </w:r>
          </w:p>
          <w:p>
            <w:pPr>
              <w:pStyle w:val="ListParagraph"/>
              <w:numPr>
                <w:ilvl w:val="0"/>
                <w:numId w:val="3"/>
              </w:numPr>
            </w:pPr>
            <w:r>
              <w:rPr>
                <w:rStyle w:val="row-content-rich-text"/>
              </w:rPr>
              <w:t xml:space="preserve">the client contacts are aggregated for a group of health professionals because the reporting organisation was unable to separate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2022–23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 – 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14b9250adf974ff0">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4"/>
              </w:numPr>
            </w:pPr>
            <w:r>
              <w:rPr>
                <w:rStyle w:val="row-content-rich-text"/>
              </w:rPr>
              <w:t xml:space="preserve">comprehensive primary health care organisations</w:t>
            </w:r>
          </w:p>
          <w:p>
            <w:pPr>
              <w:pStyle w:val="ListParagraph"/>
              <w:numPr>
                <w:ilvl w:val="0"/>
                <w:numId w:val="4"/>
              </w:numPr>
            </w:pPr>
            <w:r>
              <w:rPr>
                <w:rStyle w:val="row-content-rich-text"/>
              </w:rPr>
              <w:t xml:space="preserve">maternal and child health programs</w:t>
            </w:r>
          </w:p>
          <w:p>
            <w:pPr>
              <w:pStyle w:val="ListParagraph"/>
              <w:numPr>
                <w:ilvl w:val="0"/>
                <w:numId w:val="4"/>
              </w:numPr>
            </w:pPr>
            <w:r>
              <w:rPr>
                <w:rStyle w:val="row-content-rich-text"/>
              </w:rPr>
              <w:t xml:space="preserve">social and emotional wellbeing (SEWB)/Link-up counselling services (funded by The Department of Prime Minister and Cabinet (PM&amp;C))</w:t>
            </w:r>
          </w:p>
          <w:p>
            <w:pPr>
              <w:pStyle w:val="ListParagraph"/>
              <w:numPr>
                <w:ilvl w:val="0"/>
                <w:numId w:val="4"/>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18f41ce51cfa43e1">
              <w:r>
                <w:rPr>
                  <w:rStyle w:val="Hyperlink"/>
                </w:rPr>
                <w:t xml:space="preserve">Online Services Report (OSR)</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rPr>
              <w:t xml:space="preserve">In the 2019–20 collection, items were added to collect the address of each service delivery site and the availability of services at each site.</w:t>
            </w:r>
          </w:p>
          <w:p>
            <w:pPr>
              <w:spacing w:after="160"/>
            </w:pPr>
            <w:r>
              <w:rPr>
                <w:rStyle w:val="row-content-rich-text"/>
              </w:rPr>
              <w:t xml:space="preserve">In the 2020–21 collection, the question on the number of clients seen was collected by age group in addition to the other disaggregations. Additional organisation profile questions were also added about who the organisation is incorporated with, whether it is not-for-profit and board member training and skills.</w:t>
            </w:r>
          </w:p>
          <w:p>
            <w:pPr>
              <w:spacing w:after="160"/>
            </w:pPr>
            <w:r>
              <w:rPr>
                <w:rStyle w:val="row-content-rich-text"/>
              </w:rPr>
              <w:t xml:space="preserve">In the 2021–22 collection, questions were added on the number and proportion of clients by Indigenous status at each service delivery site. An additional sub-question was also added underneath the question about whether the organisation has a governing committee or board. The new question asks whether details are known about the governing committee or board.</w:t>
            </w:r>
          </w:p>
          <w:p>
            <w:pPr>
              <w:spacing w:after="160"/>
            </w:pPr>
            <w:r>
              <w:rPr>
                <w:rStyle w:val="row-content-rich-text"/>
              </w:rPr>
              <w:t xml:space="preserve">In the 2022–23 collection, questions were added on accreditation and whether details of the board members are published on the organisation’s website. Questions at the service delivery site level were added for opening and closing times, the catchment area and what functions and services are provided.</w:t>
            </w:r>
          </w:p>
          <w:p>
            <w:pPr>
              <w:spacing w:after="160"/>
            </w:pPr>
            <w:r>
              <w:rPr>
                <w:rStyle w:val="row-content-rich-text"/>
                <w:b/>
              </w:rPr>
              <w:t xml:space="preserve">Organisations reporting to the collection</w:t>
            </w:r>
            <w:r>
              <w:rPr>
                <w:rStyle w:val="row-content-rich-text"/>
              </w:rPr>
              <w:t xml:space="preserve"> – while for the most part it is the same organisations reporting to the collection each period, as a result of changes in funding, auspicing or reporting arrangements at the local level:</w:t>
            </w:r>
          </w:p>
          <w:p>
            <w:pPr>
              <w:pStyle w:val="ListParagraph"/>
              <w:numPr>
                <w:ilvl w:val="0"/>
                <w:numId w:val="5"/>
              </w:numPr>
            </w:pPr>
            <w:r>
              <w:rPr>
                <w:rStyle w:val="row-content-rich-text"/>
              </w:rPr>
              <w:t xml:space="preserve">the organisations that are funded to provide services vary between periods</w:t>
            </w:r>
          </w:p>
          <w:p>
            <w:pPr>
              <w:pStyle w:val="ListParagraph"/>
              <w:numPr>
                <w:ilvl w:val="0"/>
                <w:numId w:val="5"/>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rPr>
              <w:t xml:space="preserve">New Directions: Mothers and Babies services were in scope for the OSR for the first time in the 2013–14 collection. For more details see the </w:t>
            </w:r>
            <w:hyperlink w:history="true" r:id="R7bccb4ef36604f43">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 – 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 In earlier periods, it was more common for organisations to be unable to provide complete data for all questions. Therefore, there may be inconsistencies between data items for individual organisations. For example, an organisation may be able to provide data on episodes of care by Indigenous status, but not data on client contacts by Indigenous status. </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479d5456d58946ca">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6"/>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and Ageing prior to 2008–09, due to differences in the collection methodology and scope of the collection.</w:t>
            </w:r>
          </w:p>
          <w:p>
            <w:pPr>
              <w:pStyle w:val="ListParagraph"/>
              <w:numPr>
                <w:ilvl w:val="0"/>
                <w:numId w:val="6"/>
              </w:numPr>
            </w:pPr>
            <w:r>
              <w:rPr>
                <w:rStyle w:val="row-content-rich-text"/>
              </w:rPr>
              <w:t xml:space="preserve">From 2012–13, the collection was also assisted by the introduction of the PenCAT audit tool and the OCHREStreams online reporting portal, developed and maintained by the Improvement Foundation for the Department of Health and Ageing. For more details see the </w:t>
            </w:r>
            <w:hyperlink w:history="true" r:id="Re4cead773322454a">
              <w:r>
                <w:rPr>
                  <w:rStyle w:val="Hyperlink"/>
                </w:rPr>
                <w:t xml:space="preserve">Online Services Report (OSR) Database, 2012–13 DQS</w:t>
              </w:r>
            </w:hyperlink>
            <w:r>
              <w:rPr>
                <w:rStyle w:val="row-content-rich-text"/>
              </w:rPr>
              <w:t xml:space="preserve">.</w:t>
            </w:r>
          </w:p>
          <w:p>
            <w:pPr>
              <w:pStyle w:val="ListParagraph"/>
              <w:numPr>
                <w:ilvl w:val="0"/>
                <w:numId w:val="6"/>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6"/>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110207b213e84b2a">
              <w:r>
                <w:rPr>
                  <w:rStyle w:val="Hyperlink"/>
                </w:rPr>
                <w:t xml:space="preserve">Online Services Report (OSR) Database, 2016–17 DQS</w:t>
              </w:r>
            </w:hyperlink>
            <w:r>
              <w:rPr>
                <w:rStyle w:val="row-content-rich-text"/>
              </w:rPr>
              <w:t xml:space="preserve">.</w:t>
            </w:r>
          </w:p>
          <w:p>
            <w:pPr>
              <w:pStyle w:val="ListParagraph"/>
              <w:numPr>
                <w:ilvl w:val="0"/>
                <w:numId w:val="6"/>
              </w:numPr>
            </w:pPr>
            <w:r>
              <w:rPr>
                <w:rStyle w:val="row-content-rich-text"/>
              </w:rPr>
              <w:t xml:space="preserve">The 2018–19 collection was the first collection in which organisations submitted data via the HDP rather than OCHREStreams. For more details see the </w:t>
            </w:r>
            <w:hyperlink w:history="true" r:id="Rdd49be37946440f7">
              <w:r>
                <w:rPr>
                  <w:rStyle w:val="Hyperlink"/>
                </w:rPr>
                <w:t xml:space="preserve">Online Services Report (OSR) Database, 2018–19 DQS</w:t>
              </w:r>
            </w:hyperlink>
            <w:r>
              <w:rPr>
                <w:rStyle w:val="row-content-rich-text"/>
              </w:rPr>
              <w:t xml:space="preserve">.</w:t>
            </w:r>
          </w:p>
          <w:p>
            <w:pPr>
              <w:spacing w:after="160"/>
            </w:pPr>
            <w:r>
              <w:rPr>
                <w:rStyle w:val="row-content-rich-text"/>
                <w:b/>
              </w:rPr>
              <w:t xml:space="preserve">Collection period</w:t>
            </w:r>
            <w:r>
              <w:rPr>
                <w:rStyle w:val="row-content-rich-text"/>
              </w:rPr>
              <w:t xml:space="preserve"> – In 2014–15, the Census date for the collection was brought forward by 1 month to 31 May 2015, rather than 30 June 2015. For more details see the </w:t>
            </w:r>
            <w:hyperlink w:history="true" r:id="Rfbc1bdec1ec14744">
              <w:r>
                <w:rPr>
                  <w:rStyle w:val="Hyperlink"/>
                </w:rPr>
                <w:t xml:space="preserve">Online Services Report (OSR) Database, 2014–15 DQS</w:t>
              </w:r>
            </w:hyperlink>
            <w:r>
              <w:rPr>
                <w:rStyle w:val="row-content-rich-text"/>
              </w:rPr>
              <w:t xml:space="preserve">.</w:t>
            </w:r>
          </w:p>
          <w:p>
            <w:pPr/>
            <w:r>
              <w:rPr>
                <w:rStyle w:val="row-content-rich-text"/>
                <w:b/>
              </w:rPr>
              <w:t xml:space="preserve">Effect of COVID-19</w:t>
            </w:r>
            <w:r>
              <w:rPr>
                <w:rStyle w:val="row-content-rich-text"/>
              </w:rPr>
              <w:t xml:space="preserve"> – Unlike in other periods, reporting for the 2019–20 and 2020–21 periods was voluntary due to the COVID-19 pandemic. Some impact from the COVID-19 pandemic can be seen in the results from the OSR collection. However, variation between periods cannot be tied completely to the effects of the pandemic, and a combination of other factors as listed previously in this section also affects results over time. See </w:t>
            </w:r>
            <w:hyperlink w:history="true" r:id="Rf73e4c82ce164e76">
              <w:r>
                <w:rPr>
                  <w:rStyle w:val="Hyperlink"/>
                </w:rPr>
                <w:t xml:space="preserve">Aboriginal and Torres Strait Islander specific primary health care: results from the nKPI and OSR collections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aa3f0bc9c248b1">
              <w:r>
                <w:rPr>
                  <w:rStyle w:val="Hyperlink"/>
                </w:rPr>
                <w:t xml:space="preserve">Online Services Report (OSR) Database, 2021–22; Quality Statement</w:t>
              </w:r>
            </w:hyperlink>
          </w:p>
          <w:p>
            <w:pPr>
              <w:spacing w:before="0" w:after="0"/>
            </w:pPr>
            <w:r>
              <w:rPr>
                <w:rStyle w:val="row-content"/>
                <w:color w:val="244061"/>
              </w:rPr>
              <w:t xml:space="preserve">       </w:t>
            </w:r>
            <w:hyperlink w:history="true" r:id="R19469a09089448dd">
              <w:r>
                <w:rPr>
                  <w:rStyle w:val="Hyperlink"/>
                  <w:color w:val="244061"/>
                </w:rPr>
                <w:t xml:space="preserve">AIHW Data Quality Statements</w:t>
              </w:r>
            </w:hyperlink>
            <w:r>
              <w:rPr>
                <w:rStyle w:val="row-content"/>
                <w:color w:val="244061"/>
              </w:rPr>
              <w:t xml:space="preserve">, Superseded 30/01/2024</w:t>
            </w:r>
          </w:p>
          <w:p>
            <w:r>
              <w:br/>
            </w:r>
          </w:p>
        </w:tc>
      </w:tr>
    </w:tbl>
    <w:p>
      <w:r>
        <w:br/>
      </w:r>
    </w:p>
    <w:sectPr>
      <w:footerReference xmlns:r="http://schemas.openxmlformats.org/officeDocument/2006/relationships" w:type="default" r:id="R259fa2e90c67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785492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5f8f327228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fa2e90c674f41" /><Relationship Type="http://schemas.openxmlformats.org/officeDocument/2006/relationships/header" Target="/word/header1.xml" Id="Rf0566fdacd974eec" /><Relationship Type="http://schemas.openxmlformats.org/officeDocument/2006/relationships/settings" Target="/word/settings.xml" Id="Rb402763325034bc2" /><Relationship Type="http://schemas.openxmlformats.org/officeDocument/2006/relationships/styles" Target="/word/styles.xml" Id="R9f45f1df5e724625" /><Relationship Type="http://schemas.openxmlformats.org/officeDocument/2006/relationships/hyperlink" Target="https://meteor.aihw.gov.au/RegistrationAuthority/5" TargetMode="External" Id="Ref3060aed5184c5c" /><Relationship Type="http://schemas.openxmlformats.org/officeDocument/2006/relationships/numbering" Target="/word/numbering.xml" Id="Rc358d910a59040ac" /><Relationship Type="http://schemas.openxmlformats.org/officeDocument/2006/relationships/hyperlink" Target="http://www.comlaw.gov.au/Series/C2004A03450" TargetMode="External" Id="Re85af7f1a5dd44a1" /><Relationship Type="http://schemas.openxmlformats.org/officeDocument/2006/relationships/hyperlink" Target="https://www.aihw.gov.au/about-us/our-governance" TargetMode="External" Id="Re36f19864fae4773" /><Relationship Type="http://schemas.openxmlformats.org/officeDocument/2006/relationships/hyperlink" Target="https://www.legislation.gov.au/Series/C2004A03712" TargetMode="External" Id="R3d4a55d056ce437b" /><Relationship Type="http://schemas.openxmlformats.org/officeDocument/2006/relationships/hyperlink" Target="https://www.aihw.gov.au/about-us" TargetMode="External" Id="Rbe69951f87054ee3" /><Relationship Type="http://schemas.openxmlformats.org/officeDocument/2006/relationships/hyperlink" Target="https://www.aihw.gov.au/about-us/our-governance" TargetMode="External" Id="Rb7f0479896ff4b0c" /><Relationship Type="http://schemas.openxmlformats.org/officeDocument/2006/relationships/hyperlink" Target="https://www.aihw.gov.au/about-us/what-we-do" TargetMode="External" Id="R71603734cba14c0c" /><Relationship Type="http://schemas.openxmlformats.org/officeDocument/2006/relationships/hyperlink" Target="https://www.aihw.gov.au/reports/indigenous-australians/indigenous-primary-health-care-results-osr-nkpi/overview/summary" TargetMode="External" Id="Rb397bb6058464f57" /><Relationship Type="http://schemas.openxmlformats.org/officeDocument/2006/relationships/hyperlink" Target="mailto:dataquality@aihw.gov.au" TargetMode="External" Id="Rb75fde86fd9a478e" /><Relationship Type="http://schemas.openxmlformats.org/officeDocument/2006/relationships/hyperlink" Target="https://www.aihw.gov.au/our-services/data-on-request" TargetMode="External" Id="Ree37aca4fbcd4ec2" /><Relationship Type="http://schemas.openxmlformats.org/officeDocument/2006/relationships/hyperlink" Target="https://www.aihw.gov.au/reports/indigenous-australians/indigenous-primary-health-care-results-osr-nkpi/technical-appendix/technical-notes" TargetMode="External" Id="Rbc3fce96aff84be3" /><Relationship Type="http://schemas.openxmlformats.org/officeDocument/2006/relationships/hyperlink" Target="https://www.aihw.gov.au/reports/indigenous-australians/indigenous-primary-health-care-results-osr-nkpi/data" TargetMode="External" Id="Ra31582a8006341b2" /><Relationship Type="http://schemas.openxmlformats.org/officeDocument/2006/relationships/hyperlink" Target="https://meteor.aihw.gov.au/content/561251" TargetMode="External" Id="R14b9250adf974ff0" /><Relationship Type="http://schemas.openxmlformats.org/officeDocument/2006/relationships/hyperlink" Target="https://www.health.gov.au/topics/aboriginal-and-torres-strait-islander-health/reporting/osr?utm_source=health.gov.au&amp;amp;utm_medium=callout-auto-custom&amp;amp;utm_campaign=digital_transformation" TargetMode="External" Id="R18f41ce51cfa43e1" /><Relationship Type="http://schemas.openxmlformats.org/officeDocument/2006/relationships/hyperlink" Target="https://meteor.aihw.gov.au/content/601336" TargetMode="External" Id="R7bccb4ef36604f43" /><Relationship Type="http://schemas.openxmlformats.org/officeDocument/2006/relationships/hyperlink" Target="https://meteor.aihw.gov.au/content/688427" TargetMode="External" Id="R479d5456d58946ca" /><Relationship Type="http://schemas.openxmlformats.org/officeDocument/2006/relationships/hyperlink" Target="https://meteor.aihw.gov.au/content/561251" TargetMode="External" Id="Re4cead773322454a" /><Relationship Type="http://schemas.openxmlformats.org/officeDocument/2006/relationships/hyperlink" Target="https://meteor.aihw.gov.au/content/688427" TargetMode="External" Id="R110207b213e84b2a" /><Relationship Type="http://schemas.openxmlformats.org/officeDocument/2006/relationships/hyperlink" Target="https://meteor.aihw.gov.au/content/743438" TargetMode="External" Id="Rdd49be37946440f7" /><Relationship Type="http://schemas.openxmlformats.org/officeDocument/2006/relationships/hyperlink" Target="https://meteor.aihw.gov.au/content/623095" TargetMode="External" Id="Rfbc1bdec1ec14744" /><Relationship Type="http://schemas.openxmlformats.org/officeDocument/2006/relationships/hyperlink" Target="https://www.aihw.gov.au/reports/indigenous-australians/indigenous-primary-health-care-results-osr-nkpi/contents/about" TargetMode="External" Id="Rf73e4c82ce164e76" /><Relationship Type="http://schemas.openxmlformats.org/officeDocument/2006/relationships/hyperlink" Target="https://meteor.aihw.gov.au/content/769791" TargetMode="External" Id="R47aa3f0bc9c248b1" /><Relationship Type="http://schemas.openxmlformats.org/officeDocument/2006/relationships/hyperlink" Target="https://meteor.aihw.gov.au/RegistrationAuthority/5" TargetMode="External" Id="R19469a09089448dd" /></Relationships>
</file>

<file path=word/_rels/header1.xml.rels>&#65279;<?xml version="1.0" encoding="utf-8"?><Relationships xmlns="http://schemas.openxmlformats.org/package/2006/relationships"><Relationship Type="http://schemas.openxmlformats.org/officeDocument/2006/relationships/image" Target="/media/image.png" Id="Rf35f8f32722841ce" /></Relationships>
</file>