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69732650d4d25" /></Relationships>
</file>

<file path=word/document.xml><?xml version="1.0" encoding="utf-8"?>
<w:document xmlns:r="http://schemas.openxmlformats.org/officeDocument/2006/relationships" xmlns:w="http://schemas.openxmlformats.org/wordprocessingml/2006/main">
  <w:body>
    <w:p>
      <w:pPr>
        <w:pStyle w:val="Title"/>
      </w:pPr>
      <w:r>
        <w:t>Perpetrator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Perpetrator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ef88379f4400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 between a person identified as a perpetrator and their victim.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Current partner/spouse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Ex-partner/spouse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family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Friend, neighbour or acquaintance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 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w:t>
            </w:r>
          </w:p>
          <w:p>
            <w:pPr>
              <w:spacing w:after="160"/>
            </w:pPr>
            <w:r>
              <w:rPr>
                <w:rStyle w:val="row-content-rich-text"/>
              </w:rPr>
              <w:t xml:space="preserve">Choose this code when the perpetrator is the child of the victim. Includes sons, daughters and non-binary children. The relationship can be current, former, step, or in-law, or through foster care or adoption. </w:t>
            </w:r>
          </w:p>
          <w:p>
            <w:pPr>
              <w:spacing w:after="160"/>
            </w:pPr>
            <w:r>
              <w:rPr>
                <w:rStyle w:val="row-content-rich-text"/>
              </w:rPr>
              <w:t xml:space="preserve">CODE 2     Grandchild</w:t>
            </w:r>
          </w:p>
          <w:p>
            <w:pPr>
              <w:spacing w:after="160"/>
            </w:pPr>
            <w:r>
              <w:rPr>
                <w:rStyle w:val="row-content-rich-text"/>
              </w:rPr>
              <w:t xml:space="preserve">Choose this code when the perpetrator is the grandchild of the victim. Includes grandsons, granddaughters and non-binary grandchildren. The relationship can be current, former step, or in-law, or through foster care or adoption.</w:t>
            </w:r>
          </w:p>
          <w:p>
            <w:pPr>
              <w:spacing w:after="160"/>
            </w:pPr>
            <w:r>
              <w:rPr>
                <w:rStyle w:val="row-content-rich-text"/>
              </w:rPr>
              <w:t xml:space="preserve">CODE 3     Sibling</w:t>
            </w:r>
          </w:p>
          <w:p>
            <w:pPr>
              <w:spacing w:after="160"/>
            </w:pPr>
            <w:r>
              <w:rPr>
                <w:rStyle w:val="row-content-rich-text"/>
              </w:rPr>
              <w:t xml:space="preserve">Choose this code when the perpetrator is the sibling of the victim. Includes brothers, sisters and non-binary siblings. The relationship can be full, half, step, or in-law, or through foster care or adoption.</w:t>
            </w:r>
          </w:p>
          <w:p>
            <w:pPr>
              <w:spacing w:after="160"/>
            </w:pPr>
            <w:r>
              <w:rPr>
                <w:rStyle w:val="row-content-rich-text"/>
              </w:rPr>
              <w:t xml:space="preserve">CODE 4     Current partner/spouse</w:t>
            </w:r>
          </w:p>
          <w:p>
            <w:pPr>
              <w:spacing w:after="160"/>
            </w:pPr>
            <w:r>
              <w:rPr>
                <w:rStyle w:val="row-content-rich-text"/>
              </w:rPr>
              <w:t xml:space="preserve">Choose this code when the perpetrator is the current partner or spouse of the victim. Includes married or de-facto relationships and intimate partner relationships where not living together. </w:t>
            </w:r>
          </w:p>
          <w:p>
            <w:pPr>
              <w:spacing w:after="160"/>
            </w:pPr>
            <w:r>
              <w:rPr>
                <w:rStyle w:val="row-content-rich-text"/>
              </w:rPr>
              <w:t xml:space="preserve">CODE 5     Former partner/spouse</w:t>
            </w:r>
          </w:p>
          <w:p>
            <w:pPr>
              <w:spacing w:after="160"/>
            </w:pPr>
            <w:r>
              <w:rPr>
                <w:rStyle w:val="row-content-rich-text"/>
              </w:rPr>
              <w:t xml:space="preserve">Choose this code when the perpetrator is the former partner or spouse of the victim. Includes former married or de-facto relationships and former intimate partner relationships where not living together. </w:t>
            </w:r>
          </w:p>
          <w:p>
            <w:pPr>
              <w:spacing w:after="160"/>
            </w:pPr>
            <w:r>
              <w:rPr>
                <w:rStyle w:val="row-content-rich-text"/>
              </w:rPr>
              <w:t xml:space="preserve">CODE 6     Other family member</w:t>
            </w:r>
          </w:p>
          <w:p>
            <w:pPr>
              <w:spacing w:after="160"/>
            </w:pPr>
            <w:r>
              <w:rPr>
                <w:rStyle w:val="row-content-rich-text"/>
              </w:rPr>
              <w:t xml:space="preserve">Choose this code when the perpetrator is a family member of the victim, not listed above. Includes aunts, uncles, cousins or extended cousins. The relationship can be full, half or step, or through adoption. It also includes members of Indigenous communities who are accepted as being related to the person, or part of their kinship networks.  </w:t>
            </w:r>
          </w:p>
          <w:p>
            <w:pPr>
              <w:spacing w:after="160"/>
            </w:pPr>
            <w:r>
              <w:rPr>
                <w:rStyle w:val="row-content-rich-text"/>
              </w:rPr>
              <w:t xml:space="preserve">CODE 7     Friend/neighbour/acquaintance</w:t>
            </w:r>
          </w:p>
          <w:p>
            <w:pPr>
              <w:spacing w:after="160"/>
            </w:pPr>
            <w:r>
              <w:rPr>
                <w:rStyle w:val="row-content-rich-text"/>
              </w:rPr>
              <w:t xml:space="preserve">Choose this code when the perpetrator is an unrelated person or acquaintance who is known to, or lives in close proximity to, the victim or their family. </w:t>
            </w:r>
          </w:p>
          <w:p>
            <w:pPr>
              <w:spacing w:after="160"/>
            </w:pPr>
            <w:r>
              <w:rPr>
                <w:rStyle w:val="row-content-rich-text"/>
              </w:rPr>
              <w:t xml:space="preserve">CODE 8     Service provider</w:t>
            </w:r>
          </w:p>
          <w:p>
            <w:pPr>
              <w:spacing w:after="160"/>
            </w:pPr>
            <w:r>
              <w:rPr>
                <w:rStyle w:val="row-content-rich-text"/>
              </w:rPr>
              <w:t xml:space="preserve">Choose this code when the perpetrator is a service provider to the victim. Includes a person or organisation providing paid medical, financial, welfare, legal, housing, care or other services to the victim. Includes where an organisation’s policy is harming a person (for example, a policy in an aged care facility). </w:t>
            </w:r>
          </w:p>
          <w:p>
            <w:pPr>
              <w:spacing w:after="160"/>
            </w:pPr>
            <w:r>
              <w:rPr>
                <w:rStyle w:val="row-content-rich-text"/>
              </w:rPr>
              <w:t xml:space="preserve">Excludes where services are being provided to someone other than victim (such as a tradesperson providing services to a neighbour). Does not include informal carers. Informal carers should be recorded according to their familial or other relationship to the person.</w:t>
            </w:r>
          </w:p>
          <w:p>
            <w:pPr>
              <w:spacing w:after="160"/>
            </w:pPr>
            <w:r>
              <w:rPr>
                <w:rStyle w:val="row-content-rich-text"/>
              </w:rPr>
              <w:t xml:space="preserve">CODE 9      A stranger</w:t>
            </w:r>
          </w:p>
          <w:p>
            <w:pPr>
              <w:spacing w:after="160"/>
            </w:pPr>
            <w:r>
              <w:rPr>
                <w:rStyle w:val="row-content-rich-text"/>
              </w:rPr>
              <w:t xml:space="preserve">Choose this code when the perpetrator is a person who is unknown to the victim, such as a stranger or online scammer.</w:t>
            </w:r>
          </w:p>
          <w:p>
            <w:pPr>
              <w:spacing w:after="160"/>
            </w:pPr>
            <w:r>
              <w:rPr>
                <w:rStyle w:val="row-content-rich-text"/>
              </w:rPr>
              <w:t xml:space="preserve">CODE 88      Other</w:t>
            </w:r>
          </w:p>
          <w:p>
            <w:pPr>
              <w:spacing w:after="160"/>
            </w:pPr>
            <w:r>
              <w:rPr>
                <w:rStyle w:val="row-content-rich-text"/>
              </w:rPr>
              <w:t xml:space="preserve">Choose this code for all other persons or organisations not classified above (for example, ministers of religion, employees or employers, tenants,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 Includes where someone does not wish to identify the perpetrator.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element a 'perpetrator' may also include an alleged perpetrator, and a 'victim' may include a person who is the subject of concern relating to an alleged wrongdoing.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cacc1ef50f4df1">
              <w:r>
                <w:rPr>
                  <w:rStyle w:val="Hyperlink"/>
                </w:rPr>
                <w:t xml:space="preserve">Person—relationship to reference person, perpetrator code N[N]</w:t>
              </w:r>
            </w:hyperlink>
          </w:p>
          <w:p>
            <w:pPr>
              <w:spacing w:before="0" w:after="0"/>
            </w:pPr>
            <w:r>
              <w:rPr>
                <w:rStyle w:val="row-content"/>
                <w:color w:val="244061"/>
              </w:rPr>
              <w:t xml:space="preserve">       </w:t>
            </w:r>
            <w:hyperlink w:history="true" r:id="R526b9d584e994556">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2866c29e9899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f20c09023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6c29e989944b2" /><Relationship Type="http://schemas.openxmlformats.org/officeDocument/2006/relationships/header" Target="/word/header1.xml" Id="R9b463946a7d24c3b" /><Relationship Type="http://schemas.openxmlformats.org/officeDocument/2006/relationships/settings" Target="/word/settings.xml" Id="R478cb363630b4bee" /><Relationship Type="http://schemas.openxmlformats.org/officeDocument/2006/relationships/styles" Target="/word/styles.xml" Id="R901158c02a1c4bbe" /><Relationship Type="http://schemas.openxmlformats.org/officeDocument/2006/relationships/hyperlink" Target="https://meteor.aihw.gov.au/RegistrationAuthority/24" TargetMode="External" Id="Rfabef88379f4400c" /><Relationship Type="http://schemas.openxmlformats.org/officeDocument/2006/relationships/hyperlink" Target="https://meteor.aihw.gov.au/content/784490" TargetMode="External" Id="Rb4cacc1ef50f4df1" /><Relationship Type="http://schemas.openxmlformats.org/officeDocument/2006/relationships/hyperlink" Target="https://meteor.aihw.gov.au/RegistrationAuthority/24" TargetMode="External" Id="R526b9d584e994556" /></Relationships>
</file>

<file path=word/_rels/header1.xml.rels>&#65279;<?xml version="1.0" encoding="utf-8"?><Relationships xmlns="http://schemas.openxmlformats.org/package/2006/relationships"><Relationship Type="http://schemas.openxmlformats.org/officeDocument/2006/relationships/image" Target="/media/image.png" Id="R68ef20c0902344c8" /></Relationships>
</file>