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7d21ae025d3346c3" /></Relationships>
</file>

<file path=word/document.xml><?xml version="1.0" encoding="utf-8"?>
<w:document xmlns:r="http://schemas.openxmlformats.org/officeDocument/2006/relationships" xmlns:w="http://schemas.openxmlformats.org/wordprocessingml/2006/main">
  <w:body>
    <w:p>
      <w:pPr>
        <w:pStyle w:val="Title"/>
      </w:pPr>
      <w:r>
        <w:t>State Owned and Managed Indigenous Housing Data Collection, 2022–23; Quality Statement</w:t>
      </w:r>
    </w:p>
    <w:p>
      <w:pPr>
        <w:pStyle w:val="Subtitle"/>
      </w:pPr>
      <w:r>
        <w:t>Exported from METEOR</w:t>
      </w:r>
    </w:p>
    <w:p>
      <w:pPr>
        <w:pStyle w:val="Subtitle"/>
        <w:spacing w:after="2100"/>
      </w:pPr>
      <w:r>
        <w:t>(AIHW's Metadata Online Registry)</w:t>
      </w:r>
    </w:p>
    <w:p>
      <w:r>
        <w:t>© Australian Institute of Health and Welfare 2026</w:t>
      </w:r>
    </w:p>
    <w:p>
      <w:r>
        <w:t/>
      </w:r>
    </w:p>
    <w:p>
      <w:r>
        <w:t>This product, excluding the AIHW logo, Commonwealth Coat of Arms and any material owned by a third party or protected by a trademark, has been released under a Creative Commons BY 4.0 (CC BY 4.0) licence. Excluded material owned by third parties may include, for example, design and layout, images obtained under licence from third parties and signatures. We have made all reasonable efforts to identify and label material owned by third parties.</w:t>
      </w:r>
    </w:p>
    <w:p>
      <w:r>
        <w:t>You may distribute, remix and build on this website’s material but must attribute the AIHW as the copyright holder, in line with our attribution policy. The full terms and conditions of this licence are available at https://creativecommons.org/licenses/by/4.0/.</w:t>
      </w:r>
    </w:p>
    <w:p>
      <w:r>
        <w:t>Enquiries relating to copyright should be addressed to info@aihw.gov.au.</w:t>
      </w:r>
    </w:p>
    <w:p>
      <w:r>
        <w:t>Enquiries or comments on the METEOR metadata or download should be directed to the METEOR team at meteor@aihw.gov.au.</w:t>
      </w:r>
    </w:p>
    <w:p>
      <w:r>
        <w:br w:type="page"/>
      </w:r>
    </w:p>
    <w:p>
      <w:pPr>
        <w:pStyle w:val="Heading1"/>
      </w:pPr>
      <w:r>
        <w:t xml:space="preserve">State Owned and Managed Indigenous Housing Data Collection, 2022–23; Quality Statement</w:t>
      </w:r>
    </w:p>
    <w:tbl>
      <w:tblPr>
        <w:tblStyle w:val="TableGrid"/>
        <w:tblW w:w="5000" w:type="pct"/>
        <w:tblLayout w:type="fixed"/>
      </w:tblPr>
      <w:tblGrid>
        <w:gridCol/>
        <w:gridCol/>
      </w:tblGrid>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Identifying and definitional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Metadata item type:</w:t>
            </w:r>
          </w:p>
        </w:tc>
        <w:tc>
          <w:tcPr>
            <w:tcBorders>
              <w:top w:val="none" w:color="000000" w:sz="0"/>
              <w:left w:val="none" w:color="000000" w:sz="0"/>
              <w:bottom w:val="none" w:color="000000" w:sz="0"/>
              <w:right w:val="none" w:color="000000" w:sz="0"/>
            </w:tcBorders>
            <w:vAlign w:val="top"/>
          </w:tcPr>
          <w:p>
            <w:r>
              <w:t xml:space="preserve">Data Quality Statement</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METEOR identifier:</w:t>
            </w:r>
          </w:p>
        </w:tc>
        <w:tc>
          <w:tcPr>
            <w:tcBorders>
              <w:top w:val="none" w:color="000000" w:sz="0"/>
              <w:left w:val="none" w:color="000000" w:sz="0"/>
              <w:bottom w:val="none" w:color="000000" w:sz="0"/>
              <w:right w:val="none" w:color="000000" w:sz="0"/>
            </w:tcBorders>
            <w:vAlign w:val="top"/>
          </w:tcPr>
          <w:p>
            <w:r>
              <w:t xml:space="preserve">783469</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Registration status:</w:t>
            </w:r>
          </w:p>
        </w:tc>
        <w:tc>
          <w:tcPr>
            <w:tcBorders>
              <w:top w:val="none" w:color="000000" w:sz="0"/>
              <w:left w:val="none" w:color="000000" w:sz="0"/>
              <w:bottom w:val="none" w:color="000000" w:sz="0"/>
              <w:right w:val="none" w:color="000000" w:sz="0"/>
            </w:tcBorders>
            <w:vAlign w:val="top"/>
          </w:tcPr>
          <w:p>
            <w:pPr>
              <w:spacing w:before="0" w:after="0"/>
            </w:pPr>
            <w:hyperlink w:history="true" r:id="R8841d929dc2244c0">
              <w:r>
                <w:rPr>
                  <w:rStyle w:val="Hyperlink"/>
                  <w:color w:val="244061"/>
                </w:rPr>
                <w:t xml:space="preserve">AIHW Data Quality Statements</w:t>
              </w:r>
            </w:hyperlink>
            <w:r>
              <w:rPr>
                <w:rStyle w:val="row-content"/>
                <w:color w:val="244061"/>
              </w:rPr>
              <w:t xml:space="preserve">, Superseded 07/11/2024</w:t>
            </w:r>
          </w:p>
        </w:tc>
      </w:tr>
    </w:tbl>
    <w:p/>
    <w:tbl>
      <w:tblPr>
        <w:tblStyle w:val="TableGrid"/>
        <w:tblW w:w="5000" w:type="pct"/>
        <w:tblLayout w:type="fixed"/>
      </w:tblPr>
      <w:tblGrid>
        <w:gridCol/>
        <w:gridCol/>
      </w:tblGrid>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Data quality</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Data quality statement summary:</w:t>
            </w:r>
          </w:p>
        </w:tc>
        <w:tc>
          <w:tcPr>
            <w:tcBorders>
              <w:top w:val="none" w:color="000000" w:sz="0"/>
              <w:left w:val="none" w:color="000000" w:sz="0"/>
              <w:bottom w:val="none" w:color="000000" w:sz="0"/>
              <w:right w:val="none" w:color="000000" w:sz="0"/>
            </w:tcBorders>
            <w:vAlign w:val="top"/>
          </w:tcPr>
          <w:p>
            <w:pPr>
              <w:spacing w:after="160"/>
            </w:pPr>
            <w:r>
              <w:rPr>
                <w:rStyle w:val="row-content-rich-text"/>
                <w:b/>
              </w:rPr>
              <w:t xml:space="preserve">Description</w:t>
            </w:r>
          </w:p>
          <w:p>
            <w:pPr>
              <w:spacing w:after="160"/>
            </w:pPr>
            <w:r>
              <w:rPr>
                <w:rStyle w:val="row-content-rich-text"/>
              </w:rPr>
              <w:t xml:space="preserve">Five states and territories – New South Wales, Queensland, South Australia, Tasmania and the Northern Territory – provide a range of State Owned and Managed Indigenous Housing (SOMIH) programs and maintain administrative data sets about these programs. Extracts of these data sets are provided annually to the Australian Institute of Health and Welfare (AIHW).</w:t>
            </w:r>
          </w:p>
          <w:p>
            <w:pPr>
              <w:spacing w:after="160"/>
            </w:pPr>
            <w:r>
              <w:rPr>
                <w:rStyle w:val="row-content-rich-text"/>
              </w:rPr>
              <w:t xml:space="preserve">This collection contains information about SOMIH dwellings, households assisted and households on the waiting list. Data are provided for the following two reference periods: 2022–23 financial year and point in time at 30 June 2023.</w:t>
            </w:r>
          </w:p>
          <w:p>
            <w:pPr>
              <w:spacing w:after="160"/>
            </w:pPr>
            <w:r>
              <w:rPr>
                <w:rStyle w:val="row-content-rich-text"/>
                <w:b/>
              </w:rPr>
              <w:t xml:space="preserve">Summary</w:t>
            </w:r>
          </w:p>
          <w:p>
            <w:pPr>
              <w:pStyle w:val="ListParagraph"/>
              <w:numPr>
                <w:ilvl w:val="0"/>
                <w:numId w:val="2"/>
              </w:numPr>
            </w:pPr>
            <w:r>
              <w:rPr>
                <w:rStyle w:val="row-content-rich-text"/>
              </w:rPr>
              <w:t xml:space="preserve">The data collected are an administrative by-product of the management of SOMIH programs and conform well in terms of scope, coverage and reference period.</w:t>
            </w:r>
          </w:p>
          <w:p>
            <w:pPr>
              <w:pStyle w:val="ListParagraph"/>
              <w:numPr>
                <w:ilvl w:val="0"/>
                <w:numId w:val="2"/>
              </w:numPr>
            </w:pPr>
            <w:r>
              <w:rPr>
                <w:rStyle w:val="row-content-rich-text"/>
              </w:rPr>
              <w:t xml:space="preserve">The administrative data sets from which this collection is drawn have inaccuracies to varying degrees, including missing data, out-of-date data and data coding or recording errors.</w:t>
            </w:r>
          </w:p>
          <w:p>
            <w:pPr>
              <w:pStyle w:val="ListParagraph"/>
              <w:numPr>
                <w:ilvl w:val="0"/>
                <w:numId w:val="2"/>
              </w:numPr>
            </w:pPr>
            <w:r>
              <w:rPr>
                <w:rStyle w:val="row-content-rich-text"/>
              </w:rPr>
              <w:t xml:space="preserve">Care is required when comparing outputs across states and territories. Differences in the data collected, including which records are included or excluded from a calculation, can affect the coherence of the outputs. Coherence over time has been affected by changes in methodology (see ‘coherence’ section for details).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Institutional environment:</w:t>
            </w:r>
          </w:p>
        </w:tc>
        <w:tc>
          <w:tcPr>
            <w:tcBorders>
              <w:top w:val="none" w:color="000000" w:sz="0"/>
              <w:left w:val="none" w:color="000000" w:sz="0"/>
              <w:bottom w:val="none" w:color="000000" w:sz="0"/>
              <w:right w:val="none" w:color="000000" w:sz="0"/>
            </w:tcBorders>
            <w:vAlign w:val="top"/>
          </w:tcPr>
          <w:p>
            <w:pPr>
              <w:spacing w:after="160"/>
            </w:pPr>
            <w:r>
              <w:rPr>
                <w:rStyle w:val="row-content-rich-text"/>
              </w:rPr>
              <w:t xml:space="preserve">The AIHW is an independent corporate Commonwealth entity under the </w:t>
            </w:r>
            <w:hyperlink w:history="true" r:id="R26d58bb32dce4160">
              <w:r>
                <w:rPr>
                  <w:rStyle w:val="Hyperlink"/>
                  <w:i/>
                </w:rPr>
                <w:t xml:space="preserve">Australian Institute of Health and Welfare Act 1987</w:t>
              </w:r>
            </w:hyperlink>
            <w:r>
              <w:rPr>
                <w:rStyle w:val="row-content-rich-text"/>
              </w:rPr>
              <w:t xml:space="preserve"> (AIHW Act), governed by a </w:t>
            </w:r>
            <w:hyperlink w:history="true" r:id="R7d3c89c0f4854281">
              <w:r>
                <w:rPr>
                  <w:rStyle w:val="Hyperlink"/>
                </w:rPr>
                <w:t xml:space="preserve">management board</w:t>
              </w:r>
            </w:hyperlink>
            <w:r>
              <w:rPr>
                <w:rStyle w:val="row-content-rich-text"/>
              </w:rPr>
              <w:t xml:space="preserve"> and accountable to the Australian Parliament through the Health portfolio.</w:t>
            </w:r>
          </w:p>
          <w:p>
            <w:pPr>
              <w:spacing w:after="160"/>
            </w:pPr>
            <w:r>
              <w:rPr>
                <w:rStyle w:val="row-content-rich-text"/>
              </w:rPr>
              <w:t xml:space="preserve">The AIHW is a nationally recognised information management agency. Its purpose is to create authoritative and accessible information and statistics that inform decisions and improve the health and welfare of all Australians.</w:t>
            </w:r>
          </w:p>
          <w:p>
            <w:pPr>
              <w:spacing w:after="160"/>
            </w:pPr>
            <w:r>
              <w:rPr>
                <w:rStyle w:val="row-content-rich-text"/>
              </w:rPr>
              <w:t xml:space="preserve">Compliance with the confidentiality requirements in the AIHW Act, the Privacy Principles in the </w:t>
            </w:r>
            <w:hyperlink w:history="true" r:id="R86a8e9a57f0848dc">
              <w:r>
                <w:rPr>
                  <w:rStyle w:val="Hyperlink"/>
                  <w:i/>
                </w:rPr>
                <w:t xml:space="preserve">Privacy Act 1988</w:t>
              </w:r>
            </w:hyperlink>
            <w:r>
              <w:rPr>
                <w:rStyle w:val="row-content-rich-text"/>
              </w:rPr>
              <w:t xml:space="preserve"> (Cth), and AIHW's data governance arrangements ensures that the AIHW is well positioned to release information for public benefit while protecting the identity of individuals and organisations.</w:t>
            </w:r>
          </w:p>
          <w:p>
            <w:pPr>
              <w:spacing w:after="160"/>
            </w:pPr>
            <w:r>
              <w:rPr>
                <w:rStyle w:val="row-content-rich-text"/>
              </w:rPr>
              <w:t xml:space="preserve">For further information, see the </w:t>
            </w:r>
            <w:hyperlink w:history="true" r:id="R410e784fe7f9475e">
              <w:r>
                <w:rPr>
                  <w:rStyle w:val="Hyperlink"/>
                </w:rPr>
                <w:t xml:space="preserve">AIHW website</w:t>
              </w:r>
            </w:hyperlink>
            <w:r>
              <w:rPr>
                <w:rStyle w:val="row-content-rich-text"/>
              </w:rPr>
              <w:t xml:space="preserve">, which includes details about the AIHW's </w:t>
            </w:r>
            <w:hyperlink w:history="true" r:id="Rf0ab7375db844bb9">
              <w:r>
                <w:rPr>
                  <w:rStyle w:val="Hyperlink"/>
                </w:rPr>
                <w:t xml:space="preserve">governance</w:t>
              </w:r>
            </w:hyperlink>
            <w:r>
              <w:rPr>
                <w:rStyle w:val="row-content-rich-text"/>
              </w:rPr>
              <w:t xml:space="preserve"> and </w:t>
            </w:r>
            <w:hyperlink w:history="true" r:id="R16dffde32fc0487c">
              <w:r>
                <w:rPr>
                  <w:rStyle w:val="Hyperlink"/>
                </w:rPr>
                <w:t xml:space="preserve">role and strategic goals</w:t>
              </w:r>
            </w:hyperlink>
            <w:r>
              <w:rPr>
                <w:rStyle w:val="row-content-rich-text"/>
              </w:rPr>
              <w:t xml:space="preserve">.</w:t>
            </w:r>
          </w:p>
          <w:p>
            <w:pPr/>
            <w:r>
              <w:rPr>
                <w:rStyle w:val="row-content-rich-text"/>
              </w:rPr>
              <w:t xml:space="preserve">The AIHW receives, compiles, edits and verifies the data in collaboration with states and territories. The finalised data sets are signed off by the states and territories and used by the AIHW for reporting, analysis and approved ad hoc data requests. Requests for jurisdiction-level data must be signed off by the relevant state or territory.</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Timeliness:</w:t>
            </w:r>
          </w:p>
        </w:tc>
        <w:tc>
          <w:tcPr>
            <w:tcBorders>
              <w:top w:val="none" w:color="000000" w:sz="0"/>
              <w:left w:val="none" w:color="000000" w:sz="0"/>
              <w:bottom w:val="none" w:color="000000" w:sz="0"/>
              <w:right w:val="none" w:color="000000" w:sz="0"/>
            </w:tcBorders>
            <w:vAlign w:val="top"/>
          </w:tcPr>
          <w:p>
            <w:pPr/>
            <w:r>
              <w:rPr>
                <w:rStyle w:val="row-content-rich-text"/>
              </w:rPr>
              <w:t xml:space="preserve">The reference period for the SOMIH collection is based on the financial year (ending 30 June). The specific reference period for these data is 2022–23.</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Accessibility:</w:t>
            </w:r>
          </w:p>
        </w:tc>
        <w:tc>
          <w:tcPr>
            <w:tcBorders>
              <w:top w:val="none" w:color="000000" w:sz="0"/>
              <w:left w:val="none" w:color="000000" w:sz="0"/>
              <w:bottom w:val="none" w:color="000000" w:sz="0"/>
              <w:right w:val="none" w:color="000000" w:sz="0"/>
            </w:tcBorders>
            <w:vAlign w:val="top"/>
          </w:tcPr>
          <w:p>
            <w:pPr>
              <w:spacing w:after="160"/>
            </w:pPr>
            <w:r>
              <w:rPr>
                <w:rStyle w:val="row-content-rich-text"/>
              </w:rPr>
              <w:t xml:space="preserve">Analysis of data from this collection is reported in the AIHW's annual </w:t>
            </w:r>
            <w:hyperlink w:history="true" r:id="R01760e56fd174068">
              <w:r>
                <w:rPr>
                  <w:rStyle w:val="Hyperlink"/>
                  <w:i/>
                </w:rPr>
                <w:t xml:space="preserve">Housing assistance in Australia</w:t>
              </w:r>
            </w:hyperlink>
            <w:r>
              <w:rPr>
                <w:rStyle w:val="row-content-rich-text"/>
              </w:rPr>
              <w:t xml:space="preserve"> reports and the Productivity Commission's annual </w:t>
            </w:r>
            <w:hyperlink w:history="true" r:id="R6d73a9168d1c440c">
              <w:r>
                <w:rPr>
                  <w:rStyle w:val="Hyperlink"/>
                  <w:i/>
                </w:rPr>
                <w:t xml:space="preserve">Report on government services</w:t>
              </w:r>
            </w:hyperlink>
            <w:r>
              <w:rPr>
                <w:rStyle w:val="row-content-rich-text"/>
              </w:rPr>
              <w:t xml:space="preserve">.</w:t>
            </w:r>
          </w:p>
          <w:p>
            <w:pPr/>
            <w:r>
              <w:rPr>
                <w:rStyle w:val="row-content-rich-text"/>
              </w:rPr>
              <w:t xml:space="preserve">Users can request data not available online or in reports (subject to the AIHW's confidentiality policy and state and territory approval) via the AIHW’s online </w:t>
            </w:r>
            <w:hyperlink w:history="true" r:id="R6eb2718b0158431d">
              <w:r>
                <w:rPr>
                  <w:rStyle w:val="Hyperlink"/>
                </w:rPr>
                <w:t xml:space="preserve">data request system</w:t>
              </w:r>
            </w:hyperlink>
            <w:r>
              <w:rPr>
                <w:rStyle w:val="row-content-rich-text"/>
              </w:rPr>
              <w:t xml:space="preserve">. Depending on the nature of the request, access to unpublished data may incur costs or require approval; from the </w:t>
            </w:r>
            <w:hyperlink w:history="true" r:id="Ra9e1327617724938">
              <w:r>
                <w:rPr>
                  <w:rStyle w:val="Hyperlink"/>
                </w:rPr>
                <w:t xml:space="preserve">AIHW Ethics Committee</w:t>
              </w:r>
            </w:hyperlink>
            <w:r>
              <w:rPr>
                <w:rStyle w:val="row-content-rich-text"/>
              </w:rPr>
              <w:t xml:space="preserve">. General enquiries about the AIHW publications can be directed to </w:t>
            </w:r>
            <w:hyperlink w:history="true" r:id="R7dcf7a22048e4384">
              <w:r>
                <w:rPr>
                  <w:rStyle w:val="Hyperlink"/>
                </w:rPr>
                <w:t xml:space="preserve">info@aihw.gov.au</w:t>
              </w:r>
            </w:hyperlink>
            <w:r>
              <w:rPr>
                <w:rStyle w:val="row-content-rich-text"/>
              </w:rPr>
              <w:t xml:space="preserve">.</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Interpretability:</w:t>
            </w:r>
          </w:p>
        </w:tc>
        <w:tc>
          <w:tcPr>
            <w:tcBorders>
              <w:top w:val="none" w:color="000000" w:sz="0"/>
              <w:left w:val="none" w:color="000000" w:sz="0"/>
              <w:bottom w:val="none" w:color="000000" w:sz="0"/>
              <w:right w:val="none" w:color="000000" w:sz="0"/>
            </w:tcBorders>
            <w:vAlign w:val="top"/>
          </w:tcPr>
          <w:p>
            <w:pPr>
              <w:spacing w:after="160"/>
            </w:pPr>
            <w:r>
              <w:rPr>
                <w:rStyle w:val="row-content-rich-text"/>
              </w:rPr>
              <w:t xml:space="preserve">Metadata and definitions relating to this data source can be found in the </w:t>
            </w:r>
            <w:hyperlink w:history="true" r:id="R2f6655c95dcf456c">
              <w:r>
                <w:rPr>
                  <w:rStyle w:val="Hyperlink"/>
                  <w:i/>
                </w:rPr>
                <w:t xml:space="preserve">Public Housing and State Owned and Managed Indigenous Housing (PH &amp; SOMIH) data set specification 2018-</w:t>
              </w:r>
            </w:hyperlink>
            <w:r>
              <w:rPr>
                <w:rStyle w:val="row-content-rich-text"/>
              </w:rPr>
              <w:t xml:space="preserve">.</w:t>
            </w:r>
          </w:p>
          <w:p>
            <w:pPr/>
            <w:r>
              <w:rPr>
                <w:rStyle w:val="row-content-rich-text"/>
              </w:rPr>
              <w:t xml:space="preserve">Supplementary information can be found in the housing collection data manuals which are available upon request from </w:t>
            </w:r>
            <w:hyperlink w:history="true" r:id="R9b76ab3296e6436d">
              <w:r>
                <w:rPr>
                  <w:rStyle w:val="Hyperlink"/>
                </w:rPr>
                <w:t xml:space="preserve">housing@aihw.gov.au</w:t>
              </w:r>
            </w:hyperlink>
            <w:r>
              <w:rPr>
                <w:rStyle w:val="row-content-rich-text"/>
              </w:rPr>
              <w:t xml:space="preserve">.</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Relevance:</w:t>
            </w:r>
          </w:p>
        </w:tc>
        <w:tc>
          <w:tcPr>
            <w:tcBorders>
              <w:top w:val="none" w:color="000000" w:sz="0"/>
              <w:left w:val="none" w:color="000000" w:sz="0"/>
              <w:bottom w:val="none" w:color="000000" w:sz="0"/>
              <w:right w:val="none" w:color="000000" w:sz="0"/>
            </w:tcBorders>
            <w:vAlign w:val="top"/>
          </w:tcPr>
          <w:p>
            <w:pPr>
              <w:spacing w:after="160"/>
            </w:pPr>
            <w:r>
              <w:rPr>
                <w:rStyle w:val="row-content-rich-text"/>
              </w:rPr>
              <w:t xml:space="preserve">The data collected are an administrative by-product of the management of SOMIH programs and conform well in terms of scope, coverage and reference period. SOMIH programs are delivered in only 5 states and territories – New South Wales, Queensland, South Australia, Tasmania and the Northern Territory.</w:t>
            </w:r>
          </w:p>
          <w:p>
            <w:pPr/>
            <w:r>
              <w:rPr>
                <w:rStyle w:val="row-content-rich-text"/>
              </w:rPr>
              <w:t xml:space="preserve">Classifications used for </w:t>
            </w:r>
            <w:r>
              <w:rPr>
                <w:rStyle w:val="row-content-rich-text"/>
                <w:i/>
              </w:rPr>
              <w:t xml:space="preserve">income</w:t>
            </w:r>
            <w:r>
              <w:rPr>
                <w:rStyle w:val="row-content-rich-text"/>
              </w:rPr>
              <w:t xml:space="preserve">, </w:t>
            </w:r>
            <w:r>
              <w:rPr>
                <w:rStyle w:val="row-content-rich-text"/>
                <w:i/>
              </w:rPr>
              <w:t xml:space="preserve">disability status</w:t>
            </w:r>
            <w:r>
              <w:rPr>
                <w:rStyle w:val="row-content-rich-text"/>
              </w:rPr>
              <w:t xml:space="preserve">, </w:t>
            </w:r>
            <w:r>
              <w:rPr>
                <w:rStyle w:val="row-content-rich-text"/>
                <w:i/>
              </w:rPr>
              <w:t xml:space="preserve">greatest need</w:t>
            </w:r>
            <w:r>
              <w:rPr>
                <w:rStyle w:val="row-content-rich-text"/>
              </w:rPr>
              <w:t xml:space="preserve"> and </w:t>
            </w:r>
            <w:r>
              <w:rPr>
                <w:rStyle w:val="row-content-rich-text"/>
                <w:i/>
              </w:rPr>
              <w:t xml:space="preserve">vacancy reason</w:t>
            </w:r>
            <w:r>
              <w:rPr>
                <w:rStyle w:val="row-content-rich-text"/>
              </w:rPr>
              <w:t xml:space="preserve"> are not consistent across the states and territories, however, the states and territories map these data to an AIHW standard as defined in METEOR.</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Accuracy:</w:t>
            </w:r>
          </w:p>
        </w:tc>
        <w:tc>
          <w:tcPr>
            <w:tcBorders>
              <w:top w:val="none" w:color="000000" w:sz="0"/>
              <w:left w:val="none" w:color="000000" w:sz="0"/>
              <w:bottom w:val="none" w:color="000000" w:sz="0"/>
              <w:right w:val="none" w:color="000000" w:sz="0"/>
            </w:tcBorders>
            <w:vAlign w:val="top"/>
          </w:tcPr>
          <w:p>
            <w:pPr>
              <w:spacing w:after="160"/>
            </w:pPr>
            <w:r>
              <w:rPr>
                <w:rStyle w:val="row-content-rich-text"/>
              </w:rPr>
              <w:t xml:space="preserve">There are known accuracy issues with the data collected:</w:t>
            </w:r>
          </w:p>
          <w:p>
            <w:pPr>
              <w:pStyle w:val="ListParagraph"/>
              <w:numPr>
                <w:ilvl w:val="0"/>
                <w:numId w:val="3"/>
              </w:numPr>
            </w:pPr>
            <w:r>
              <w:rPr>
                <w:rStyle w:val="row-content-rich-text"/>
              </w:rPr>
              <w:t xml:space="preserve">The administrative data sets from which this collection is drawn have inaccuracies to varying degrees including missing data, out-of-date data and data coding or recording errors.</w:t>
            </w:r>
          </w:p>
          <w:p>
            <w:pPr>
              <w:pStyle w:val="ListParagraph"/>
              <w:numPr>
                <w:ilvl w:val="0"/>
                <w:numId w:val="3"/>
              </w:numPr>
            </w:pPr>
            <w:r>
              <w:rPr>
                <w:rStyle w:val="row-content-rich-text"/>
              </w:rPr>
              <w:t xml:space="preserve">Not all states and territories capture all data items. For those outputs that are calculated using </w:t>
            </w:r>
            <w:r>
              <w:rPr>
                <w:rStyle w:val="row-content-rich-text"/>
                <w:i/>
              </w:rPr>
              <w:t xml:space="preserve">gross income</w:t>
            </w:r>
            <w:r>
              <w:rPr>
                <w:rStyle w:val="row-content-rich-text"/>
              </w:rPr>
              <w:t xml:space="preserve">, New South Wales and South Australia use </w:t>
            </w:r>
            <w:r>
              <w:rPr>
                <w:rStyle w:val="row-content-rich-text"/>
                <w:i/>
              </w:rPr>
              <w:t xml:space="preserve">assessable income</w:t>
            </w:r>
            <w:r>
              <w:rPr>
                <w:rStyle w:val="row-content-rich-text"/>
              </w:rPr>
              <w:t xml:space="preserve"> instead. (Assessable income is the income amount used to establish eligibility for housing assistance and each jurisdiction uses its own definition of assessable income.) In addition, </w:t>
            </w:r>
            <w:r>
              <w:rPr>
                <w:rStyle w:val="row-content-rich-text"/>
                <w:i/>
              </w:rPr>
              <w:t xml:space="preserve">disability status</w:t>
            </w:r>
            <w:r>
              <w:rPr>
                <w:rStyle w:val="row-content-rich-text"/>
              </w:rPr>
              <w:t xml:space="preserve"> is derived as a proxy using a combination of the receipt of a disability pension along with other information in New South Wales, Queensland, South Australia and Tasmania.</w:t>
            </w:r>
          </w:p>
          <w:p>
            <w:pPr>
              <w:pStyle w:val="ListParagraph"/>
              <w:numPr>
                <w:ilvl w:val="0"/>
                <w:numId w:val="3"/>
              </w:numPr>
            </w:pPr>
            <w:r>
              <w:rPr>
                <w:rStyle w:val="row-content-rich-text"/>
              </w:rPr>
              <w:t xml:space="preserve">Information about disability is not reported under eligibility requirements in some jurisdictions.</w:t>
            </w:r>
          </w:p>
          <w:p>
            <w:pPr>
              <w:pStyle w:val="ListParagraph"/>
              <w:numPr>
                <w:ilvl w:val="0"/>
                <w:numId w:val="3"/>
              </w:numPr>
            </w:pPr>
            <w:r>
              <w:rPr>
                <w:rStyle w:val="row-content-rich-text"/>
              </w:rPr>
              <w:t xml:space="preserve">Indigenous status is self-identified and not reported under eligibility requirements in some jurisdictions.</w:t>
            </w:r>
          </w:p>
          <w:p>
            <w:pPr>
              <w:pStyle w:val="ListParagraph"/>
              <w:numPr>
                <w:ilvl w:val="0"/>
                <w:numId w:val="3"/>
              </w:numPr>
            </w:pPr>
            <w:r>
              <w:rPr>
                <w:rStyle w:val="row-content-rich-text"/>
              </w:rPr>
              <w:t xml:space="preserve">Most states and territories do not update income information for non-rebated households, that is, households who pay the market rent value of the dwellings. Therefore, some household income information may be coded as missing or not reflect current income levels. Outputs produced that require income information do not include households with missing income and therefore may not be complete.</w:t>
            </w:r>
          </w:p>
          <w:p>
            <w:pPr>
              <w:pStyle w:val="ListParagraph"/>
              <w:numPr>
                <w:ilvl w:val="0"/>
                <w:numId w:val="3"/>
              </w:numPr>
            </w:pPr>
            <w:r>
              <w:rPr>
                <w:rStyle w:val="row-content-rich-text"/>
              </w:rPr>
              <w:t xml:space="preserve">All jurisdictions have a form of integrated waitlist across social housing programs. Waitlist data are reported separately for each social housing program applied for. Counting rules for the number of applicants for any given program may vary across jurisdictions.</w:t>
            </w:r>
          </w:p>
          <w:p>
            <w:pPr>
              <w:spacing w:after="160"/>
            </w:pPr>
            <w:r>
              <w:rPr>
                <w:rStyle w:val="row-content-rich-text"/>
                <w:i/>
              </w:rPr>
              <w:t xml:space="preserve">State- and territory-specific issues:</w:t>
            </w:r>
          </w:p>
          <w:p>
            <w:pPr>
              <w:spacing w:after="160"/>
            </w:pPr>
            <w:r>
              <w:rPr>
                <w:rStyle w:val="row-content-rich-text"/>
                <w:b/>
              </w:rPr>
              <w:t xml:space="preserve">New South Wales</w:t>
            </w:r>
          </w:p>
          <w:p>
            <w:pPr>
              <w:pStyle w:val="ListParagraph"/>
              <w:numPr>
                <w:ilvl w:val="0"/>
                <w:numId w:val="4"/>
              </w:numPr>
            </w:pPr>
            <w:r>
              <w:rPr>
                <w:rStyle w:val="row-content-rich-text"/>
              </w:rPr>
              <w:t xml:space="preserve">Since a system change in 2010, New South Wales continues to report problems encountered when linking files containing date variables within their system. This may occur when linking ‘dwelling history’, ‘household’ and ‘waitlist’ files. Where date variables contradict between files, they are recoded as missing.</w:t>
            </w:r>
          </w:p>
          <w:p>
            <w:pPr>
              <w:pStyle w:val="ListParagraph"/>
              <w:numPr>
                <w:ilvl w:val="0"/>
                <w:numId w:val="4"/>
              </w:numPr>
            </w:pPr>
            <w:r>
              <w:rPr>
                <w:rStyle w:val="row-content-rich-text"/>
              </w:rPr>
              <w:t xml:space="preserve">In 2022–23, New South Wales reported that income information is more complete and comprehensive meaning an improvement in data quality.</w:t>
            </w:r>
          </w:p>
          <w:p>
            <w:pPr>
              <w:pStyle w:val="ListParagraph"/>
              <w:numPr>
                <w:ilvl w:val="0"/>
                <w:numId w:val="4"/>
              </w:numPr>
            </w:pPr>
            <w:r>
              <w:rPr>
                <w:rStyle w:val="row-content-rich-text"/>
              </w:rPr>
              <w:t xml:space="preserve">Income details are only updated for rebated households, that is, 67% of all households.</w:t>
            </w:r>
          </w:p>
          <w:p>
            <w:pPr>
              <w:spacing w:after="160"/>
            </w:pPr>
            <w:r>
              <w:rPr>
                <w:rStyle w:val="row-content-rich-text"/>
                <w:b/>
              </w:rPr>
              <w:t xml:space="preserve">Queensland</w:t>
            </w:r>
          </w:p>
          <w:p>
            <w:pPr>
              <w:pStyle w:val="ListParagraph"/>
              <w:numPr>
                <w:ilvl w:val="0"/>
                <w:numId w:val="5"/>
              </w:numPr>
            </w:pPr>
            <w:r>
              <w:rPr>
                <w:rStyle w:val="row-content-rich-text"/>
              </w:rPr>
              <w:t xml:space="preserve">Income details are only updated for rebated households, that is, 86% of all households.</w:t>
            </w:r>
          </w:p>
          <w:p>
            <w:pPr>
              <w:pStyle w:val="ListParagraph"/>
              <w:numPr>
                <w:ilvl w:val="0"/>
                <w:numId w:val="5"/>
              </w:numPr>
            </w:pPr>
            <w:r>
              <w:rPr>
                <w:rStyle w:val="row-content-rich-text"/>
              </w:rPr>
              <w:t xml:space="preserve">SOMIH households are assumed to be Indigenous households.</w:t>
            </w:r>
          </w:p>
          <w:p>
            <w:pPr>
              <w:pStyle w:val="ListParagraph"/>
              <w:numPr>
                <w:ilvl w:val="0"/>
                <w:numId w:val="5"/>
              </w:numPr>
            </w:pPr>
            <w:r>
              <w:rPr>
                <w:rStyle w:val="row-content-rich-text"/>
              </w:rPr>
              <w:t xml:space="preserve">Market rent is only current for occupied dwellings.</w:t>
            </w:r>
          </w:p>
          <w:p>
            <w:pPr>
              <w:pStyle w:val="ListParagraph"/>
              <w:numPr>
                <w:ilvl w:val="0"/>
                <w:numId w:val="5"/>
              </w:numPr>
            </w:pPr>
            <w:r>
              <w:rPr>
                <w:rStyle w:val="row-content-rich-text"/>
              </w:rPr>
              <w:t xml:space="preserve">There is one waiting list for social housing in Queensland. Applicants for the SOMIH program may also be reported in the community housing waitlist data. Applicants eligible for both the public housing (PH) and SOMIH programs are reported only in the SOMIH waitlist data.</w:t>
            </w:r>
          </w:p>
          <w:p>
            <w:pPr>
              <w:spacing w:after="160"/>
            </w:pPr>
            <w:r>
              <w:rPr>
                <w:rStyle w:val="row-content-rich-text"/>
                <w:b/>
              </w:rPr>
              <w:t xml:space="preserve">South Australia</w:t>
            </w:r>
          </w:p>
          <w:p>
            <w:pPr>
              <w:pStyle w:val="ListParagraph"/>
              <w:numPr>
                <w:ilvl w:val="0"/>
                <w:numId w:val="6"/>
              </w:numPr>
            </w:pPr>
            <w:r>
              <w:rPr>
                <w:rStyle w:val="row-content-rich-text"/>
              </w:rPr>
              <w:t xml:space="preserve">Income details are not updated for most non-rebated households. </w:t>
            </w:r>
          </w:p>
          <w:p>
            <w:pPr>
              <w:pStyle w:val="ListParagraph"/>
              <w:numPr>
                <w:ilvl w:val="0"/>
                <w:numId w:val="6"/>
              </w:numPr>
            </w:pPr>
            <w:r>
              <w:rPr>
                <w:rStyle w:val="row-content-rich-text"/>
              </w:rPr>
              <w:t xml:space="preserve">Housing SA did not supply the ‘dwelling history’ file for 2022–23, which includes the variables necessary for the calculation of turnaround time.</w:t>
            </w:r>
          </w:p>
          <w:p>
            <w:pPr>
              <w:spacing w:after="160"/>
            </w:pPr>
            <w:r>
              <w:rPr>
                <w:rStyle w:val="row-content-rich-text"/>
                <w:b/>
              </w:rPr>
              <w:t xml:space="preserve">Tasmania</w:t>
            </w:r>
          </w:p>
          <w:p>
            <w:pPr>
              <w:pStyle w:val="ListParagraph"/>
              <w:numPr>
                <w:ilvl w:val="0"/>
                <w:numId w:val="7"/>
              </w:numPr>
            </w:pPr>
            <w:r>
              <w:rPr>
                <w:rStyle w:val="row-content-rich-text"/>
              </w:rPr>
              <w:t xml:space="preserve">Greatest need information is not collected for SOMIH applicants.</w:t>
            </w:r>
          </w:p>
          <w:p>
            <w:pPr>
              <w:spacing w:after="160"/>
            </w:pPr>
            <w:r>
              <w:rPr>
                <w:rStyle w:val="row-content-rich-text"/>
                <w:b/>
              </w:rPr>
              <w:t xml:space="preserve">Northern Territory</w:t>
            </w:r>
          </w:p>
          <w:p>
            <w:pPr>
              <w:pStyle w:val="ListParagraph"/>
              <w:numPr>
                <w:ilvl w:val="0"/>
                <w:numId w:val="8"/>
              </w:numPr>
            </w:pPr>
            <w:r>
              <w:rPr>
                <w:rStyle w:val="row-content-rich-text"/>
              </w:rPr>
              <w:t xml:space="preserve">Greatest need information is not collected for SOMIH applicants.</w:t>
            </w:r>
          </w:p>
          <w:p>
            <w:pPr>
              <w:pStyle w:val="ListParagraph"/>
              <w:numPr>
                <w:ilvl w:val="0"/>
                <w:numId w:val="8"/>
              </w:numPr>
            </w:pPr>
            <w:r>
              <w:rPr>
                <w:rStyle w:val="row-content-rich-text"/>
              </w:rPr>
              <w:t xml:space="preserve">Income is not an eligibility factor for SOMIH and therefore a large proportion of households elect not to provide income information. There are significant gaps in the collection of individual client income information.</w:t>
            </w:r>
          </w:p>
          <w:p>
            <w:pPr>
              <w:pStyle w:val="ListParagraph"/>
              <w:numPr>
                <w:ilvl w:val="0"/>
                <w:numId w:val="8"/>
              </w:numPr>
            </w:pPr>
            <w:r>
              <w:rPr>
                <w:rStyle w:val="row-content-rich-text"/>
              </w:rPr>
              <w:t xml:space="preserve">The implementation of Remote Rent Framework in May 2022 has led to improved income and rent information.</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Coherence:</w:t>
            </w:r>
          </w:p>
        </w:tc>
        <w:tc>
          <w:tcPr>
            <w:tcBorders>
              <w:top w:val="none" w:color="000000" w:sz="0"/>
              <w:left w:val="none" w:color="000000" w:sz="0"/>
              <w:bottom w:val="none" w:color="000000" w:sz="0"/>
              <w:right w:val="none" w:color="000000" w:sz="0"/>
            </w:tcBorders>
            <w:vAlign w:val="top"/>
          </w:tcPr>
          <w:p>
            <w:pPr>
              <w:spacing w:after="160"/>
            </w:pPr>
            <w:r>
              <w:rPr>
                <w:rStyle w:val="row-content-rich-text"/>
              </w:rPr>
              <w:t xml:space="preserve">States and territories may publish their own analysis of SOMIH data which may vary in scope from this collection.</w:t>
            </w:r>
          </w:p>
          <w:p>
            <w:pPr>
              <w:spacing w:after="160"/>
            </w:pPr>
            <w:r>
              <w:rPr>
                <w:rStyle w:val="row-content-rich-text"/>
              </w:rPr>
              <w:t xml:space="preserve">Data for individual states and territories may not be comparable to previous years due to changes in systems and processes which have led to differences in the accuracy and completeness of the data over time. Differences between states and territories concerning incomplete or missing information, out-of-date information and coding errors can affect the coherence of the outputs.</w:t>
            </w:r>
          </w:p>
          <w:p>
            <w:pPr>
              <w:spacing w:after="160"/>
            </w:pPr>
            <w:r>
              <w:rPr>
                <w:rStyle w:val="row-content-rich-text"/>
              </w:rPr>
              <w:t xml:space="preserve">Coherence over time has also been affected by changes in methodology:</w:t>
            </w:r>
          </w:p>
          <w:p>
            <w:pPr>
              <w:pStyle w:val="ListParagraph"/>
              <w:numPr>
                <w:ilvl w:val="0"/>
                <w:numId w:val="9"/>
              </w:numPr>
            </w:pPr>
            <w:r>
              <w:rPr>
                <w:rStyle w:val="row-content-rich-text"/>
              </w:rPr>
              <w:t xml:space="preserve">For 2022–23, remoteness area (RA) is determined using a concordance between 2022 postcodes and the Australian Bureau of Statistics (ABS) Australian Statistical Geography Standard (ASGS) 2021 RA classification. From 2018–19 to 2021–22, a concordance between 2018 postcodes and the ASGS 2016 RA classification was used. For 2017–18, a concordance between 2017 postcodes and the ASGS 2016 RA classification was used. Previous years used a concordance between 2012 postcodes and the ASGS 2011 RA classification. Care is therefore required when comparing remoteness data across time.</w:t>
            </w:r>
          </w:p>
          <w:p>
            <w:pPr>
              <w:pStyle w:val="ListParagraph"/>
              <w:numPr>
                <w:ilvl w:val="0"/>
                <w:numId w:val="9"/>
              </w:numPr>
            </w:pPr>
            <w:r>
              <w:rPr>
                <w:rStyle w:val="row-content-rich-text"/>
              </w:rPr>
              <w:t xml:space="preserve">Measurements using low income cannot be directly compared with low-income measures produced prior to 2009–10 due to a change in methodology. From 2009–10 onwards, low-income cut-offs were obtained from the biennial ABS Survey of Income and Housing (SIH). From 2021–22, low-income cut-offs are based on 2019–20 SIH results. Care is required when comparing low-income measures over time.</w:t>
            </w:r>
          </w:p>
          <w:p>
            <w:pPr>
              <w:pStyle w:val="ListParagraph"/>
              <w:numPr>
                <w:ilvl w:val="0"/>
                <w:numId w:val="9"/>
              </w:numPr>
            </w:pPr>
            <w:r>
              <w:rPr>
                <w:rStyle w:val="row-content-rich-text"/>
              </w:rPr>
              <w:t xml:space="preserve">Measurements of overcrowding cannot be directly compared with figures produced prior to 2009–10 due to a change in methodology. Prior to 2009–10, overcrowding was measured using a proxy standard of ‘2 or more bedrooms are required’. From 2009–10 onwards, overcrowding was measured using the Canadian National Occupancy Standard (CNOS) of ‘1 or more bedrooms are required’.</w:t>
            </w:r>
          </w:p>
          <w:p>
            <w:pPr>
              <w:pStyle w:val="ListParagraph"/>
              <w:numPr>
                <w:ilvl w:val="0"/>
                <w:numId w:val="9"/>
              </w:numPr>
            </w:pPr>
            <w:r>
              <w:rPr>
                <w:rStyle w:val="row-content-rich-text"/>
              </w:rPr>
              <w:t xml:space="preserve">Measurements of underutilisation cannot be directly compared with figures produced prior to 2011–12 due to changes in methodology. Prior to 2009–10, underutilisation was measured using a proxy standard of ‘2 or more spare bedrooms’. From 2009–10 to 2010–11, underutilisation was measured using the CNOS of ‘1 or more spare bedrooms’. From 2011–12 onwards, underutilisation was measured using the revised CNOS of ‘2 or more spare bedrooms’.</w:t>
            </w:r>
          </w:p>
          <w:p>
            <w:pPr>
              <w:spacing w:after="160"/>
            </w:pPr>
            <w:r>
              <w:rPr>
                <w:rStyle w:val="row-content-rich-text"/>
              </w:rPr>
              <w:t xml:space="preserve">State and territory government housing authorities’ bedroom entitlement policies may differ from the CNOS which is used in dwelling utilisation calculations.</w:t>
            </w:r>
          </w:p>
          <w:p>
            <w:pPr>
              <w:spacing w:after="160"/>
            </w:pPr>
            <w:r>
              <w:rPr>
                <w:rStyle w:val="row-content-rich-text"/>
                <w:i/>
              </w:rPr>
              <w:t xml:space="preserve">State- and territory-specific issues:</w:t>
            </w:r>
            <w:r>
              <w:br/>
            </w:r>
            <w:r>
              <w:rPr>
                <w:rStyle w:val="row-content-rich-text"/>
                <w:b/>
              </w:rPr>
              <w:t xml:space="preserve">New South Wales</w:t>
            </w:r>
          </w:p>
          <w:p>
            <w:pPr>
              <w:pStyle w:val="ListParagraph"/>
              <w:numPr>
                <w:ilvl w:val="0"/>
                <w:numId w:val="10"/>
              </w:numPr>
            </w:pPr>
            <w:r>
              <w:rPr>
                <w:rStyle w:val="row-content-rich-text"/>
              </w:rPr>
              <w:t xml:space="preserve">From 2011–12, previous rent charged is not a mandatory field to be provided by new tenants in their application for housing assistance. As a result, the number of new allocations to households in greatest need is underestimated due to the exclusion of households with very high rental housing costs.</w:t>
            </w:r>
          </w:p>
          <w:p>
            <w:pPr>
              <w:pStyle w:val="ListParagraph"/>
              <w:numPr>
                <w:ilvl w:val="0"/>
                <w:numId w:val="10"/>
              </w:numPr>
            </w:pPr>
            <w:r>
              <w:rPr>
                <w:rStyle w:val="row-content-rich-text"/>
              </w:rPr>
              <w:t xml:space="preserve">A new maintenance system was introduced during 2016–17. The transition and implementation timing meant there were significant data gaps in the ‘dwelling history’ file. Therefore, New South Wales did not supply the 2016–17 ‘dwelling history’ file which includes the variables necessary for the calculation of turnaround time.</w:t>
            </w:r>
          </w:p>
          <w:p>
            <w:pPr>
              <w:pStyle w:val="ListParagraph"/>
              <w:numPr>
                <w:ilvl w:val="0"/>
                <w:numId w:val="10"/>
              </w:numPr>
            </w:pPr>
            <w:r>
              <w:rPr>
                <w:rStyle w:val="row-content-rich-text"/>
              </w:rPr>
              <w:t xml:space="preserve">From 2016–17, waitlist data excluded suspended applicants; therefore, data may not be comparable to previous years.</w:t>
            </w:r>
          </w:p>
          <w:p>
            <w:pPr>
              <w:pStyle w:val="ListParagraph"/>
              <w:numPr>
                <w:ilvl w:val="0"/>
                <w:numId w:val="10"/>
              </w:numPr>
            </w:pPr>
            <w:r>
              <w:rPr>
                <w:rStyle w:val="row-content-rich-text"/>
              </w:rPr>
              <w:t xml:space="preserve">In 2017–18, dwellings identified for disposal and dwellings leased to a community organisation were reported for the first time. Person information is not available for these dwellings.</w:t>
            </w:r>
          </w:p>
          <w:p>
            <w:pPr>
              <w:spacing w:after="160"/>
            </w:pPr>
            <w:r>
              <w:rPr>
                <w:rStyle w:val="row-content-rich-text"/>
                <w:b/>
              </w:rPr>
              <w:t xml:space="preserve">Queensland</w:t>
            </w:r>
          </w:p>
          <w:p>
            <w:pPr>
              <w:pStyle w:val="ListParagraph"/>
              <w:numPr>
                <w:ilvl w:val="0"/>
                <w:numId w:val="11"/>
              </w:numPr>
            </w:pPr>
            <w:r>
              <w:rPr>
                <w:rStyle w:val="row-content-rich-text"/>
              </w:rPr>
              <w:t xml:space="preserve">There was a major system change in 2019–20. This affected the following:</w:t>
            </w:r>
            <w:r>
              <w:br/>
            </w:r>
            <w:r>
              <w:rPr>
                <w:rStyle w:val="row-content-rich-text"/>
              </w:rPr>
              <w:t xml:space="preserve">        • Migration issues meant Queensland were unable to report household income for some households.</w:t>
            </w:r>
            <w:r>
              <w:br/>
            </w:r>
            <w:r>
              <w:rPr>
                <w:rStyle w:val="row-content-rich-text"/>
              </w:rPr>
              <w:t xml:space="preserve">        • Changes to the categorisation of vacancy reason.</w:t>
            </w:r>
            <w:r>
              <w:br/>
            </w:r>
            <w:r>
              <w:rPr>
                <w:rStyle w:val="row-content-rich-text"/>
              </w:rPr>
              <w:t xml:space="preserve">        • Identifiers (for example, dwelling and household ID) are not consistent with previous years meaning descriptors related to sustaining a tenancy for 12 months or more could not be calculated.</w:t>
            </w:r>
            <w:r>
              <w:br/>
            </w:r>
            <w:r>
              <w:rPr>
                <w:rStyle w:val="row-content-rich-text"/>
              </w:rPr>
              <w:t xml:space="preserve">        • The methodology for differentiating between PH and SOMIH applications changed.</w:t>
            </w:r>
            <w:r>
              <w:br/>
            </w:r>
            <w:r>
              <w:rPr>
                <w:rStyle w:val="row-content-rich-text"/>
              </w:rPr>
              <w:t xml:space="preserve">        • The methodology for collecting greatest need information changed.</w:t>
            </w:r>
            <w:r>
              <w:br/>
            </w:r>
            <w:r>
              <w:rPr>
                <w:rStyle w:val="row-content-rich-text"/>
              </w:rPr>
              <w:t xml:space="preserve">        • Application date is now the initial application date. Previously, this was updated if an applicant changed situation/category.</w:t>
            </w:r>
          </w:p>
          <w:p>
            <w:pPr>
              <w:pStyle w:val="ListParagraph"/>
              <w:numPr>
                <w:ilvl w:val="0"/>
                <w:numId w:val="11"/>
              </w:numPr>
            </w:pPr>
            <w:r>
              <w:rPr>
                <w:rStyle w:val="row-content-rich-text"/>
              </w:rPr>
              <w:t xml:space="preserve">In 2021–22, all vacant dwellings have been included regardless of their vacancy reason. Prior to 2021–22, vacant properties such as inactive, sale approved, purchase of existing property, were excluded.</w:t>
            </w:r>
          </w:p>
          <w:p>
            <w:pPr>
              <w:spacing w:after="160"/>
            </w:pPr>
            <w:r>
              <w:rPr>
                <w:rStyle w:val="row-content-rich-text"/>
                <w:b/>
              </w:rPr>
              <w:t xml:space="preserve">South Australia</w:t>
            </w:r>
          </w:p>
          <w:p>
            <w:pPr>
              <w:pStyle w:val="ListParagraph"/>
              <w:numPr>
                <w:ilvl w:val="0"/>
                <w:numId w:val="12"/>
              </w:numPr>
            </w:pPr>
            <w:r>
              <w:rPr>
                <w:rStyle w:val="row-content-rich-text"/>
              </w:rPr>
              <w:t xml:space="preserve">Since 2012–13, Housing SA has been unable to provide the ‘dwelling history’ file which includes the variables necessary for the calculation of turnaround time.</w:t>
            </w:r>
          </w:p>
          <w:p>
            <w:pPr>
              <w:pStyle w:val="ListParagraph"/>
              <w:numPr>
                <w:ilvl w:val="0"/>
                <w:numId w:val="12"/>
              </w:numPr>
            </w:pPr>
            <w:r>
              <w:rPr>
                <w:rStyle w:val="row-content-rich-text"/>
              </w:rPr>
              <w:t xml:space="preserve">In April 2020, Housing SA implemented a new data collection system. A number of data migration errors and coding changes in the new system led to reporting errors or an inability to provide items in 2019–20. In particular:</w:t>
            </w:r>
            <w:r>
              <w:br/>
            </w:r>
            <w:r>
              <w:rPr>
                <w:rStyle w:val="row-content-rich-text"/>
              </w:rPr>
              <w:t xml:space="preserve">        • Dwelling and tenancy details were unable to be provided for some SOMIH dwellings.</w:t>
            </w:r>
            <w:r>
              <w:br/>
            </w:r>
            <w:r>
              <w:rPr>
                <w:rStyle w:val="row-content-rich-text"/>
              </w:rPr>
              <w:t xml:space="preserve">        • Income unit identifier was not provided.</w:t>
            </w:r>
            <w:r>
              <w:br/>
            </w:r>
            <w:r>
              <w:rPr>
                <w:rStyle w:val="row-content-rich-text"/>
              </w:rPr>
              <w:t xml:space="preserve">        • Greatest need is likely to be an undercount due to a data migration error.</w:t>
            </w:r>
            <w:r>
              <w:br/>
            </w:r>
            <w:r>
              <w:rPr>
                <w:rStyle w:val="row-content-rich-text"/>
              </w:rPr>
              <w:t xml:space="preserve">        • South Australia was unable to distinguish between greatest need reasons. For greatest need households, greatest need reason was reported as homeless (code 1) in 2019–20.</w:t>
            </w:r>
          </w:p>
          <w:p>
            <w:pPr>
              <w:spacing w:after="160"/>
            </w:pPr>
            <w:r>
              <w:rPr>
                <w:rStyle w:val="row-content-rich-text"/>
              </w:rPr>
              <w:t xml:space="preserve">However, data cleansing before migration to the new system resulted in better data quality and less missing information regarding bedroom and/or required bedroom details.</w:t>
            </w:r>
          </w:p>
          <w:p>
            <w:pPr>
              <w:pStyle w:val="ListParagraph"/>
              <w:numPr>
                <w:ilvl w:val="0"/>
                <w:numId w:val="13"/>
              </w:numPr>
            </w:pPr>
            <w:r>
              <w:rPr>
                <w:rStyle w:val="row-content-rich-text"/>
              </w:rPr>
              <w:t xml:space="preserve">From April 2020, eligible applicants for SOMIH were registered for both the PH and SOMIH programs. These applicants are reported only in the SOMIH waitlist data.</w:t>
            </w:r>
          </w:p>
          <w:p>
            <w:pPr>
              <w:pStyle w:val="ListParagraph"/>
              <w:numPr>
                <w:ilvl w:val="0"/>
                <w:numId w:val="13"/>
              </w:numPr>
            </w:pPr>
            <w:r>
              <w:rPr>
                <w:rStyle w:val="row-content-rich-text"/>
              </w:rPr>
              <w:t xml:space="preserve">In 2021–22, South Australia reported an increase in the collection and reliability of incomes for non-rebated households.</w:t>
            </w:r>
          </w:p>
          <w:p>
            <w:pPr>
              <w:pStyle w:val="ListParagraph"/>
              <w:numPr>
                <w:ilvl w:val="0"/>
                <w:numId w:val="13"/>
              </w:numPr>
            </w:pPr>
            <w:r>
              <w:rPr>
                <w:rStyle w:val="row-content-rich-text"/>
              </w:rPr>
              <w:t xml:space="preserve">In February 2021, data from community housing (CH) organisations were migrated into South Australia’s single housing register (SHR). Original application dates remained for households initially on the CH register when they were included in the SOMIH register through the SHR, which impacted on time waited indicators.</w:t>
            </w:r>
          </w:p>
          <w:p>
            <w:pPr>
              <w:pStyle w:val="ListParagraph"/>
              <w:numPr>
                <w:ilvl w:val="0"/>
                <w:numId w:val="13"/>
              </w:numPr>
            </w:pPr>
            <w:r>
              <w:rPr>
                <w:rStyle w:val="row-content-rich-text"/>
              </w:rPr>
              <w:t xml:space="preserve">Prior to 2021–22, all households and the main tenant in SOMIH were reported as Indigenous. These included households where Indigenous status was not recorded for any of the occupants, or where there were only non-Indigenous occupants. From 2021–22, the Indigenous status of households and the main tenant were reported, consistent with what is recorded in departmental systems.</w:t>
            </w:r>
          </w:p>
          <w:p>
            <w:pPr>
              <w:spacing w:after="160"/>
            </w:pPr>
            <w:r>
              <w:rPr>
                <w:rStyle w:val="row-content-rich-text"/>
                <w:b/>
              </w:rPr>
              <w:t xml:space="preserve">Tasmania</w:t>
            </w:r>
          </w:p>
          <w:p>
            <w:pPr>
              <w:pStyle w:val="ListParagraph"/>
              <w:numPr>
                <w:ilvl w:val="0"/>
                <w:numId w:val="14"/>
              </w:numPr>
            </w:pPr>
            <w:r>
              <w:rPr>
                <w:rStyle w:val="row-content-rich-text"/>
              </w:rPr>
              <w:t xml:space="preserve">Housing Tasmania implemented a new Housing Management System (HMS) in November 2016. There was a gap in the data collection from 2016–17 when income details and wait times were not available for applicants who registered prior to October 2016. This is improving over time.</w:t>
            </w:r>
          </w:p>
          <w:p>
            <w:pPr>
              <w:pStyle w:val="ListParagraph"/>
              <w:numPr>
                <w:ilvl w:val="0"/>
                <w:numId w:val="14"/>
              </w:numPr>
            </w:pPr>
            <w:r>
              <w:rPr>
                <w:rStyle w:val="row-content-rich-text"/>
              </w:rPr>
              <w:t xml:space="preserve">In previous years, waitlist data included transfer applicants who were not on the Housing Register. From 2017–18 this is no longer the case and caution should be taken when comparing waitlist data to previous years.</w:t>
            </w:r>
          </w:p>
          <w:p>
            <w:pPr>
              <w:pStyle w:val="ListParagraph"/>
              <w:numPr>
                <w:ilvl w:val="0"/>
                <w:numId w:val="14"/>
              </w:numPr>
            </w:pPr>
            <w:r>
              <w:rPr>
                <w:rStyle w:val="row-content-rich-text"/>
              </w:rPr>
              <w:t xml:space="preserve">In 2018–19, relationship status for household members was not consistently recorded resulting in a number of unknown values for overcrowding and underutilisation measures.</w:t>
            </w:r>
          </w:p>
          <w:p>
            <w:pPr>
              <w:spacing w:after="160"/>
            </w:pPr>
            <w:r>
              <w:rPr>
                <w:rStyle w:val="row-content-rich-text"/>
                <w:b/>
              </w:rPr>
              <w:t xml:space="preserve">Northern Territory</w:t>
            </w:r>
          </w:p>
          <w:p>
            <w:pPr>
              <w:pStyle w:val="ListParagraph"/>
              <w:numPr>
                <w:ilvl w:val="0"/>
                <w:numId w:val="15"/>
              </w:numPr>
            </w:pPr>
            <w:r>
              <w:rPr>
                <w:rStyle w:val="row-content-rich-text"/>
              </w:rPr>
              <w:t xml:space="preserve">Around 5,000 social housing dwellings in the Northern Territory were transferred from the Indigenous Community Housing (ICH) collection to remote public housing between 2008 and 2010 and have been excluded from administrative data collections between 2008–09 and 2015–16, inclusive. In 2016–17, these dwellings were reported in the SOMIH collection. Due to data quality issues, limited aggregate information was provided in 2016–17. Unit record data were provided in 2017–18.</w:t>
            </w:r>
          </w:p>
          <w:p>
            <w:pPr>
              <w:pStyle w:val="ListParagraph"/>
              <w:numPr>
                <w:ilvl w:val="0"/>
                <w:numId w:val="15"/>
              </w:numPr>
            </w:pPr>
            <w:r>
              <w:rPr>
                <w:rStyle w:val="row-content-rich-text"/>
              </w:rPr>
              <w:t xml:space="preserve">Prior to 2018–19, reinstated applications (where contact with a new applicant had been lost then re-established) were reported as transfers instead of new households. In 2018–19, these applications were reported as new households. As a result, in previous years total new applicants (excluding transfers), new greatest need applicants and new households assisted were understated and transfer applicants and relocating households were overstated. From 2019–20, reinstated applicants who relocated to another dwelling in the same housing program but chose to wait for their transfer in private accommodation were reported as transfers.</w:t>
            </w:r>
          </w:p>
        </w:tc>
      </w:tr>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Source and reference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Submitting organisation:</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rPr>
              <w:t xml:space="preserve">Australian Institute of Health and Welfare</w:t>
            </w:r>
            <w:r>
              <w:br/>
            </w:r>
          </w:p>
        </w:tc>
      </w:tr>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Relational attributes</w:t>
            </w:r>
            <w:r>
              <w:t xml:space="preserve"> </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Related metadata references:</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rPr>
              <w:t xml:space="preserve">Supersedes </w:t>
            </w:r>
            <w:hyperlink w:history="true" r:id="R53ce24c6da544eca">
              <w:r>
                <w:rPr>
                  <w:rStyle w:val="Hyperlink"/>
                </w:rPr>
                <w:t xml:space="preserve">State Owned and Managed Indigenous Housing Data Collection, 2021–22; Quality Statement</w:t>
              </w:r>
            </w:hyperlink>
          </w:p>
          <w:p>
            <w:pPr>
              <w:pStyle w:val="registration-status"/>
              <w:spacing w:before="0" w:after="0"/>
            </w:pPr>
            <w:hyperlink w:history="true" r:id="R12fe6ab833df4319">
              <w:r>
                <w:rPr>
                  <w:rStyle w:val="Hyperlink"/>
                  <w:color w:val="244061"/>
                </w:rPr>
                <w:t xml:space="preserve">AIHW Data Quality Statements</w:t>
              </w:r>
            </w:hyperlink>
            <w:r>
              <w:rPr>
                <w:rStyle w:val="row-content"/>
                <w:color w:val="244061"/>
              </w:rPr>
              <w:t xml:space="preserve">, Superseded 22/12/2023</w:t>
            </w:r>
          </w:p>
          <w:p>
            <w:r>
              <w:br/>
            </w:r>
            <w:r>
              <w:rPr>
                <w:rStyle w:val="row-content"/>
              </w:rPr>
              <w:t xml:space="preserve">Has been superseded by </w:t>
            </w:r>
            <w:hyperlink w:history="true" r:id="R316ae1dfd2ad463d">
              <w:r>
                <w:rPr>
                  <w:rStyle w:val="Hyperlink"/>
                </w:rPr>
                <w:t xml:space="preserve">State Owned and Managed Indigenous Housing Data Collection, 2023–24; Quality Statement</w:t>
              </w:r>
            </w:hyperlink>
          </w:p>
          <w:p>
            <w:pPr>
              <w:pStyle w:val="registration-status"/>
              <w:spacing w:before="0" w:after="0"/>
            </w:pPr>
            <w:hyperlink w:history="true" r:id="Rb68f2a1e259441ee">
              <w:r>
                <w:rPr>
                  <w:rStyle w:val="Hyperlink"/>
                  <w:color w:val="244061"/>
                </w:rPr>
                <w:t xml:space="preserve">AIHW Data Quality Statements</w:t>
              </w:r>
            </w:hyperlink>
            <w:r>
              <w:rPr>
                <w:rStyle w:val="row-content"/>
                <w:color w:val="244061"/>
              </w:rPr>
              <w:t xml:space="preserve">, Superseded 19/11/2025</w:t>
            </w:r>
          </w:p>
          <w:p>
            <w:r>
              <w:br/>
            </w:r>
            <w:r>
              <w:rPr>
                <w:rStyle w:val="row-content"/>
              </w:rPr>
              <w:t xml:space="preserve">See also </w:t>
            </w:r>
            <w:hyperlink w:history="true" r:id="R725cde8e773f43a8">
              <w:r>
                <w:rPr>
                  <w:rStyle w:val="Hyperlink"/>
                </w:rPr>
                <w:t xml:space="preserve">Public Housing and State Owned and Managed Indigenous housing (PH &amp; SOMIH) DSS 2018-</w:t>
              </w:r>
            </w:hyperlink>
          </w:p>
          <w:p>
            <w:pPr>
              <w:pStyle w:val="registration-status"/>
              <w:spacing w:before="0" w:after="0"/>
            </w:pPr>
            <w:hyperlink w:history="true" r:id="R03eb3f36cf0f4daf">
              <w:r>
                <w:rPr>
                  <w:rStyle w:val="Hyperlink"/>
                  <w:color w:val="244061"/>
                </w:rPr>
                <w:t xml:space="preserve">Housing assistance</w:t>
              </w:r>
            </w:hyperlink>
            <w:r>
              <w:rPr>
                <w:rStyle w:val="row-content"/>
                <w:color w:val="244061"/>
              </w:rPr>
              <w:t xml:space="preserve">, Standard 10/05/2019</w:t>
            </w:r>
          </w:p>
          <w:p>
            <w:r>
              <w:br/>
            </w:r>
            <w:r>
              <w:rPr>
                <w:rStyle w:val="row-content"/>
              </w:rPr>
              <w:t xml:space="preserve">See also </w:t>
            </w:r>
            <w:hyperlink w:history="true" r:id="R8d769ad31caa4f3e">
              <w:r>
                <w:rPr>
                  <w:rStyle w:val="Hyperlink"/>
                </w:rPr>
                <w:t xml:space="preserve">Public Housing Data Collection, 2022–23; Quality Statement</w:t>
              </w:r>
            </w:hyperlink>
          </w:p>
          <w:p>
            <w:pPr>
              <w:pStyle w:val="registration-status"/>
              <w:spacing w:before="0" w:after="0"/>
            </w:pPr>
            <w:hyperlink w:history="true" r:id="Ra289cc22189246a1">
              <w:r>
                <w:rPr>
                  <w:rStyle w:val="Hyperlink"/>
                  <w:color w:val="244061"/>
                </w:rPr>
                <w:t xml:space="preserve">AIHW Data Quality Statements</w:t>
              </w:r>
            </w:hyperlink>
            <w:r>
              <w:rPr>
                <w:rStyle w:val="row-content"/>
                <w:color w:val="244061"/>
              </w:rPr>
              <w:t xml:space="preserve">, Superseded 07/11/2024</w:t>
            </w:r>
          </w:p>
          <w:p>
            <w:r>
              <w:br/>
            </w:r>
          </w:p>
        </w:tc>
      </w:tr>
    </w:tbl>
    <w:p>
      <w:r>
        <w:br/>
      </w:r>
    </w:p>
    <w:sectPr>
      <w:footerReference xmlns:r="http://schemas.openxmlformats.org/officeDocument/2006/relationships" w:type="default" r:id="Rbc087fc07b8b4026"/>
      <w:pgMar w:top="1060" w:right="1000" w:bottom="1060" w:left="1000" w:footer="300"/>
      <w:titlePg/>
    </w:sectPr>
  </w:body>
</w:document>
</file>

<file path=word/footer1.xml><?xml version="1.0" encoding="utf-8"?>
<w:ftr xmlns:w="http://schemas.openxmlformats.org/wordprocessingml/2006/main">
  <w:p>
    <w:pPr>
      <w:pStyle w:val="Footer"/>
      <w:pBdr>
        <w:top w:val="single"/>
      </w:pBdr>
    </w:pPr>
    <w:r>
      <w:ptab w:alignment="left" w:relativeTo="margin" w:leader="none"/>
    </w:r>
    <w:r>
      <w:t>Metadata 783469</w:t>
    </w:r>
    <w:r>
      <w:ptab w:alignment="right" w:relativeTo="margin" w:leader="none"/>
    </w:r>
    <w:r>
      <w:t xml:space="preserve">Page </w:t>
    </w:r>
    <w:fldSimple w:instr="PAGE"/>
    <w:r>
      <w:t xml:space="preserve"> of </w:t>
    </w:r>
    <w:fldSimple w:instr="NUMPAGES"/>
    <w:r>
      <w:ptab w:alignment="left" w:relativeTo="margin" w:leader="none"/>
    </w:r>
    <w:r>
      <w:t>Downloaded 04-Jun-2026</w:t>
    </w:r>
  </w:p>
</w:ftr>
</file>

<file path=word/header1.xml><?xml version="1.0" encoding="utf-8"?>
<w:hdr xmlns:w="http://schemas.openxmlformats.org/wordprocessingml/2006/main">
  <w:p>
    <w:r>
      <w:drawing>
        <wp:inline xmlns:wp14="http://schemas.microsoft.com/office/word/2010/wordprocessingDrawing" xmlns:wp="http://schemas.openxmlformats.org/drawingml/2006/wordprocessingDrawing" distT="0" distB="0" distL="0" distR="0" wp14:editId="50D07946">
          <wp:extent cx="5943600" cy="10972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xmlns:r="http://schemas.openxmlformats.org/officeDocument/2006/relationships" r:embed="R838b99c5accb43b3" cstate="print">
                    <a:extLst>
                      <a:ext uri="{28A0092B-C50C-407E-A947-70E740481C1C}"/>
                    </a:extLst>
                  </a:blip>
                  <a:stretch>
                    <a:fillRect/>
                  </a:stretch>
                </pic:blipFill>
                <pic:spPr>
                  <a:xfrm>
                    <a:off x="0" y="0"/>
                    <a:ext cx="5943600" cy="1097280"/>
                  </a:xfrm>
                  <a:prstGeom prst="rect">
                    <a:avLst/>
                  </a:prstGeom>
                </pic:spPr>
              </pic:pic>
            </a:graphicData>
          </a:graphic>
        </wp:inline>
      </w:drawing>
    </w:r>
  </w:p>
</w:hdr>
</file>

<file path=word/numbering.xml><?xml version="1.0" encoding="utf-8"?>
<w:numbering xmlns:w="http://schemas.openxmlformats.org/wordprocessingml/2006/main">
  <w:abstractNum w:abstractNumId="0">
    <w:multiLevelType w:val="singleLevel"/>
    <w:name w:val="decimal"/>
    <w:lvl w:ilvl="0">
      <w:start w:val="1"/>
      <w:numFmt w:val="decimal"/>
      <w:lvlText w:val="%1."/>
      <w:pPr>
        <w:ind w:left="420" w:hanging="360"/>
      </w:pPr>
    </w:lvl>
  </w:abstractNum>
  <w:abstractNum w:abstractNumId="1">
    <w:multiLevelType w:val="singleLevel"/>
    <w:name w:val="disc"/>
    <w:lvl w:ilvl="0">
      <w:numFmt w:val="bullet"/>
      <w:lvlText w:val="•"/>
      <w:pPr>
        <w:ind w:left="420" w:hanging="360"/>
      </w:pPr>
    </w:lvl>
  </w:abstractNum>
  <w:abstractNum w:abstractNumId="2">
    <w:multiLevelType w:val="singleLevel"/>
    <w:name w:val="square"/>
    <w:lvl w:ilvl="0">
      <w:numFmt w:val="bullet"/>
      <w:lvlText w:val="▪"/>
      <w:pPr>
        <w:ind w:left="420" w:hanging="360"/>
      </w:pPr>
    </w:lvl>
  </w:abstractNum>
  <w:abstractNum w:abstractNumId="3">
    <w:multiLevelType w:val="singleLevel"/>
    <w:name w:val="circle"/>
    <w:lvl w:ilvl="0">
      <w:numFmt w:val="bullet"/>
      <w:lvlText w:val="o"/>
      <w:pPr>
        <w:ind w:left="420" w:hanging="360"/>
      </w:pPr>
    </w:lvl>
  </w:abstractNum>
  <w:abstractNum w:abstractNumId="4">
    <w:multiLevelType w:val="singleLevel"/>
    <w:name w:val="upper-alpha"/>
    <w:lvl w:ilvl="0">
      <w:start w:val="1"/>
      <w:numFmt w:val="upperLetter"/>
      <w:lvlText w:val="%1."/>
      <w:pPr>
        <w:ind w:left="420" w:hanging="360"/>
      </w:pPr>
    </w:lvl>
  </w:abstractNum>
  <w:abstractNum w:abstractNumId="5">
    <w:multiLevelType w:val="singleLevel"/>
    <w:name w:val="lower-alpha"/>
    <w:lvl w:ilvl="0">
      <w:start w:val="1"/>
      <w:numFmt w:val="lowerLetter"/>
      <w:lvlText w:val="%1."/>
      <w:pPr>
        <w:ind w:left="420" w:hanging="360"/>
      </w:pPr>
    </w:lvl>
  </w:abstractNum>
  <w:abstractNum w:abstractNumId="6">
    <w:multiLevelType w:val="singleLevel"/>
    <w:name w:val="upper-roman"/>
    <w:lvl w:ilvl="0">
      <w:start w:val="1"/>
      <w:numFmt w:val="upperRoman"/>
      <w:lvlText w:val="%1."/>
      <w:pPr>
        <w:ind w:left="420" w:hanging="360"/>
      </w:pPr>
    </w:lvl>
  </w:abstractNum>
  <w:abstractNum w:abstractNumId="7">
    <w:multiLevelType w:val="singleLevel"/>
    <w:name w:val="lower-roman"/>
    <w:lvl w:ilvl="0">
      <w:start w:val="1"/>
      <w:numFmt w:val="lowerRoman"/>
      <w:lvlText w:val="%1."/>
      <w:pPr>
        <w:ind w:left="420" w:hanging="360"/>
      </w:pPr>
    </w:lvl>
  </w:abstractNum>
  <w:abstractNum w:abstractNumId="8">
    <w:multiLevelType w:val="singleLevel"/>
    <w:name w:val="decimal-heading-multi"/>
    <w:lvl w:ilvl="0">
      <w:start w:val="1"/>
      <w:numFmt w:val="decimal"/>
      <w:lvlText w:val="%1."/>
    </w:lvl>
  </w:abstractNum>
  <w:num w:numId="2">
    <w:abstractNumId w:val="1"/>
    <w:lvlOverride w:ilvl="0">
      <w:startOverride w:val="1"/>
    </w:lvlOverride>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1"/>
    <w:lvlOverride w:ilvl="0">
      <w:startOverride w:val="1"/>
    </w:lvlOverride>
  </w:num>
  <w:num w:numId="7">
    <w:abstractNumId w:val="1"/>
    <w:lvlOverride w:ilvl="0">
      <w:startOverride w:val="1"/>
    </w:lvlOverride>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 w:numId="12">
    <w:abstractNumId w:val="1"/>
    <w:lvlOverride w:ilvl="0">
      <w:startOverride w:val="1"/>
    </w:lvlOverride>
  </w:num>
  <w:num w:numId="13">
    <w:abstractNumId w:val="1"/>
    <w:lvlOverride w:ilvl="0">
      <w:startOverride w:val="1"/>
    </w:lvlOverride>
  </w:num>
  <w:num w:numId="14">
    <w:abstractNumId w:val="1"/>
    <w:lvlOverride w:ilvl="0">
      <w:startOverride w:val="1"/>
    </w:lvlOverride>
  </w:num>
  <w:num w:numId="15">
    <w:abstractNumId w:val="1"/>
    <w:lvlOverride w:ilvl="0">
      <w:startOverride w:val="1"/>
    </w:lvlOverride>
  </w:num>
</w:numbering>
</file>

<file path=word/settings.xml><?xml version="1.0" encoding="utf-8"?>
<w:settings xmlns:w="http://schemas.openxmlformats.org/wordprocessingml/2006/main">
  <w:compatSetting w:name="compatibilityMode" w:uri="http://schemas.microsoft.com/office/word" w:val="16"/>
</w:settings>
</file>

<file path=word/styles.xml><?xml version="1.0" encoding="utf-8"?>
<w:styles xmlns:w="http://schemas.openxmlformats.org/wordprocessingml/2006/main">
  <w:style w:type="paragraph" w:styleId="Normal" w:customStyle="false">
    <w:uiPriority w:val="11"/>
    <w:qFormat/>
    <w:name w:val="Normal"/>
    <w:rPr>
      <w:color w:themeColor="text1"/>
      <w:rFonts w:ascii="Segoe UI"/>
      <w:sz w:val="22"/>
    </w:rPr>
  </w:style>
  <w:style w:type="character" w:styleId="row-heading" w:customStyle="false">
    <w:uiPriority w:val="11"/>
    <w:qFormat/>
    <w:name w:val="row-heading"/>
    <w:rPr>
      <w:color w:themeColor="dark2"/>
      <w:rFonts w:ascii="Segoe UI"/>
      <w:sz w:val="22"/>
    </w:rPr>
  </w:style>
  <w:style w:type="character" w:styleId="row-content" w:customStyle="false">
    <w:name w:val="row-content"/>
    <w:basedOn w:val="Normal"/>
    <w:uiPriority w:val="12"/>
    <w:qFormat/>
  </w:style>
  <w:style w:type="character" w:styleId="row-content-rich-text" w:customStyle="false">
    <w:name w:val="row-content-rich-text"/>
    <w:basedOn w:val="Normal"/>
    <w:uiPriority w:val="12"/>
    <w:qFormat/>
  </w:style>
  <w:style w:type="character" w:styleId="alternate-name-de" w:customStyle="false">
    <w:name w:val="alternate-name-de"/>
    <w:basedOn w:val="Normal"/>
    <w:uiPriority w:val="12"/>
    <w:qFormat/>
  </w:style>
  <w:style w:type="character" w:styleId="alternate-name-indicator" w:customStyle="false">
    <w:name w:val="alternate-name-indicator"/>
    <w:basedOn w:val="Normal"/>
    <w:uiPriority w:val="12"/>
    <w:qFormat/>
  </w:style>
  <w:style w:type="paragraph" w:styleId="registration-status" w:customStyle="false">
    <w:name w:val="registration-status"/>
    <w:basedOn w:val="Normal"/>
    <w:uiPriority w:val="12"/>
    <w:qFormat/>
    <w:pPr>
      <w:ind w:left="400"/>
    </w:pPr>
  </w:style>
  <w:style w:type="paragraph" w:styleId="Heading1" w:customStyle="false">
    <w:uiPriority w:val="11"/>
    <w:qFormat/>
    <w:name w:val="heading 1"/>
    <w:rPr>
      <w:color w:themeColor="accent1" w:themeShade="6F"/>
      <w:rFonts w:ascii="Segoe UI"/>
      <w:sz w:val="36"/>
      <w:b/>
    </w:rPr>
  </w:style>
  <w:style w:type="paragraph" w:styleId="underlinedHeading1" w:customStyle="false">
    <w:uiPriority w:val="11"/>
    <w:qFormat/>
    <w:name w:val="heading 1"/>
    <w:rPr>
      <w:color w:themeColor="accent1" w:themeShade="6F"/>
      <w:rFonts w:ascii="Segoe UI"/>
      <w:sz w:val="36"/>
      <w:b/>
    </w:rPr>
  </w:style>
  <w:style w:type="paragraph" w:styleId="Heading2" w:customStyle="false">
    <w:uiPriority w:val="11"/>
    <w:qFormat/>
    <w:name w:val="heading 2"/>
    <w:rPr>
      <w:color w:themeColor="accent1" w:themeShade="7F"/>
      <w:rFonts w:ascii="Segoe UI"/>
      <w:sz w:val="32"/>
      <w:b/>
    </w:rPr>
  </w:style>
  <w:style w:type="paragraph" w:styleId="underlinedHeading2" w:customStyle="false">
    <w:uiPriority w:val="11"/>
    <w:qFormat/>
    <w:name w:val="heading 2"/>
    <w:rPr>
      <w:color w:themeColor="accent1" w:themeShade="7F"/>
      <w:rFonts w:ascii="Segoe UI"/>
      <w:sz w:val="32"/>
      <w:b/>
    </w:rPr>
  </w:style>
  <w:style w:type="paragraph" w:styleId="Heading3" w:customStyle="false">
    <w:uiPriority w:val="11"/>
    <w:qFormat/>
    <w:name w:val="heading 3"/>
    <w:rPr>
      <w:color w:themeColor="accent1" w:themeShade="BF"/>
      <w:rFonts w:ascii="Segoe UI"/>
      <w:sz w:val="28"/>
      <w:b/>
    </w:rPr>
  </w:style>
  <w:style w:type="paragraph" w:styleId="underlinedHeading3" w:customStyle="false">
    <w:uiPriority w:val="11"/>
    <w:qFormat/>
    <w:name w:val="heading 3"/>
    <w:rPr>
      <w:color w:themeColor="accent1" w:themeShade="BF"/>
      <w:rFonts w:ascii="Segoe UI"/>
      <w:sz w:val="28"/>
      <w:b/>
    </w:rPr>
  </w:style>
  <w:style w:type="paragraph" w:styleId="Heading4" w:customStyle="false">
    <w:uiPriority w:val="11"/>
    <w:qFormat/>
    <w:name w:val="heading 4"/>
    <w:rPr>
      <w:color w:themeColor="accent1" w:themeShade="EF"/>
      <w:rFonts w:ascii="Segoe UI"/>
      <w:sz w:val="26"/>
      <w:b/>
    </w:rPr>
  </w:style>
  <w:style w:type="paragraph" w:styleId="underlinedHeading4" w:customStyle="false">
    <w:uiPriority w:val="11"/>
    <w:qFormat/>
    <w:name w:val="heading 4"/>
    <w:rPr>
      <w:color w:themeColor="accent1" w:themeShade="EF"/>
      <w:rFonts w:ascii="Segoe UI"/>
      <w:sz w:val="26"/>
      <w:b/>
    </w:rPr>
  </w:style>
  <w:style w:type="paragraph" w:styleId="Heading5" w:customStyle="false">
    <w:uiPriority w:val="11"/>
    <w:qFormat/>
    <w:name w:val="heading 5"/>
    <w:rPr>
      <w:color w:themeColor="accent1" w:themeShade="FF"/>
      <w:rFonts w:ascii="Segoe UI"/>
      <w:sz w:val="24"/>
      <w:b/>
    </w:rPr>
  </w:style>
  <w:style w:type="paragraph" w:styleId="underlinedHeading5" w:customStyle="false">
    <w:uiPriority w:val="11"/>
    <w:qFormat/>
    <w:name w:val="heading 5"/>
    <w:rPr>
      <w:color w:themeColor="accent1" w:themeShade="FF"/>
      <w:rFonts w:ascii="Segoe UI"/>
      <w:sz w:val="24"/>
      <w:b/>
    </w:rPr>
  </w:style>
  <w:style w:type="paragraph" w:styleId="Heading6" w:customStyle="false">
    <w:uiPriority w:val="11"/>
    <w:qFormat/>
    <w:name w:val="heading 6"/>
    <w:rPr>
      <w:color w:themeColor="accent1" w:themeShade="FF"/>
      <w:rFonts w:ascii="Segoe UI"/>
      <w:sz w:val="22"/>
      <w:b/>
    </w:rPr>
  </w:style>
  <w:style w:type="paragraph" w:styleId="underlinedHeading6" w:customStyle="false">
    <w:uiPriority w:val="11"/>
    <w:qFormat/>
    <w:name w:val="heading 6"/>
    <w:rPr>
      <w:color w:themeColor="accent1" w:themeShade="FF"/>
      <w:rFonts w:ascii="Segoe UI"/>
      <w:sz w:val="22"/>
      <w:b/>
    </w:r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xmlns:w="http://schemas.openxmlformats.org/wordprocessingml/2006/main" w:type="character" w:styleId="Hyperlink">
    <w:name w:val="Hyperlink"/>
    <w:unhideWhenUsed/>
    <w:rPr>
      <w:color w:val="0000FF" w:themeColor="hyperlink"/>
      <w:u w:val="single"/>
    </w:rPr>
  </w:style>
  <w:style w:type="table" w:styleId="InnerTable">
    <w:name w:val="Inner Table"/>
    <w:basedOn w:val="TableGrid"/>
    <w:tblPr>
      <w:tblCellMar>
        <w:left w:w="0" w:type="dxa"/>
        <w:right w:w="0" w:type="dxa"/>
      </w:tblCellMar>
    </w:tblPr>
  </w:style>
  <w:style w:type="paragraph" w:styleId="Title" w:customStyle="false">
    <w:uiPriority w:val="10"/>
    <w:qFormat/>
    <w:name w:val="Title"/>
    <w:basedOn w:val="Normal"/>
    <w:next w:val="Normal"/>
    <w:rPr>
      <w:color w:themeColor="dark1"/>
      <w:rFonts w:ascii="Calibri Light"/>
      <w:sz w:val="56"/>
    </w:rPr>
  </w:style>
  <w:style w:type="paragraph" w:styleId="Subtitle" w:customStyle="false">
    <w:uiPriority w:val="11"/>
    <w:qFormat/>
    <w:name w:val="Subtitle"/>
    <w:basedOn w:val="Normal"/>
    <w:next w:val="Normal"/>
    <w:rPr>
      <w:color w:themeColor="dark1"/>
      <w:rFonts w:ascii="Calibri Light"/>
      <w:sz w:val="32"/>
    </w:rPr>
  </w:style>
</w:styles>
</file>

<file path=word/_rels/document.xml.rels>&#65279;<?xml version="1.0" encoding="utf-8"?><Relationships xmlns="http://schemas.openxmlformats.org/package/2006/relationships"><Relationship Type="http://schemas.openxmlformats.org/officeDocument/2006/relationships/footer" Target="/word/footer1.xml" Id="Rbc087fc07b8b4026" /><Relationship Type="http://schemas.openxmlformats.org/officeDocument/2006/relationships/header" Target="/word/header1.xml" Id="R433a96add74f4406" /><Relationship Type="http://schemas.openxmlformats.org/officeDocument/2006/relationships/settings" Target="/word/settings.xml" Id="R2b79b807af234fce" /><Relationship Type="http://schemas.openxmlformats.org/officeDocument/2006/relationships/styles" Target="/word/styles.xml" Id="Rafee5614f5054080" /><Relationship Type="http://schemas.openxmlformats.org/officeDocument/2006/relationships/numbering" Target="/word/numbering.xml" Id="R74006287ee514940" /><Relationship Type="http://schemas.openxmlformats.org/officeDocument/2006/relationships/hyperlink" Target="https://meteor.aihw.gov.au/RegistrationAuthority/5" TargetMode="External" Id="R8841d929dc2244c0" /><Relationship Type="http://schemas.openxmlformats.org/officeDocument/2006/relationships/hyperlink" Target="https://www.legislation.gov.au/Series/C2004A03450" TargetMode="External" Id="R26d58bb32dce4160" /><Relationship Type="http://schemas.openxmlformats.org/officeDocument/2006/relationships/hyperlink" Target="https://www.aihw.gov.au/about-us/our-governance" TargetMode="External" Id="R7d3c89c0f4854281" /><Relationship Type="http://schemas.openxmlformats.org/officeDocument/2006/relationships/hyperlink" Target="https://www.legislation.gov.au/Series/C2004A03712" TargetMode="External" Id="R86a8e9a57f0848dc" /><Relationship Type="http://schemas.openxmlformats.org/officeDocument/2006/relationships/hyperlink" Target="https://www.aihw.gov.au/about-us" TargetMode="External" Id="R410e784fe7f9475e" /><Relationship Type="http://schemas.openxmlformats.org/officeDocument/2006/relationships/hyperlink" Target="https://www.aihw.gov.au/about-us/our-governance" TargetMode="External" Id="Rf0ab7375db844bb9" /><Relationship Type="http://schemas.openxmlformats.org/officeDocument/2006/relationships/hyperlink" Target="https://www.aihw.gov.au/about-us/what-we-do" TargetMode="External" Id="R16dffde32fc0487c" /><Relationship Type="http://schemas.openxmlformats.org/officeDocument/2006/relationships/hyperlink" Target="https://www.aihw.gov.au/reports/housing-assistance/housing-assistance-in-australia/report-editions" TargetMode="External" Id="R01760e56fd174068" /><Relationship Type="http://schemas.openxmlformats.org/officeDocument/2006/relationships/hyperlink" Target="http://www.pc.gov.au/research/ongoing/report-on-government-services" TargetMode="External" Id="R6d73a9168d1c440c" /><Relationship Type="http://schemas.openxmlformats.org/officeDocument/2006/relationships/hyperlink" Target="https://www.aihw.gov.au/our-services/data-on-request" TargetMode="External" Id="R6eb2718b0158431d" /><Relationship Type="http://schemas.openxmlformats.org/officeDocument/2006/relationships/hyperlink" Target="https://www.aihw.gov.au/about-us/committees/aihw-ethics-committee" TargetMode="External" Id="Ra9e1327617724938" /><Relationship Type="http://schemas.openxmlformats.org/officeDocument/2006/relationships/hyperlink" Target="mailto:info@aihw.gov.au" TargetMode="External" Id="R7dcf7a22048e4384" /><Relationship Type="http://schemas.openxmlformats.org/officeDocument/2006/relationships/hyperlink" Target="https://meteor.aihw.gov.au/content/711016" TargetMode="External" Id="R2f6655c95dcf456c" /><Relationship Type="http://schemas.openxmlformats.org/officeDocument/2006/relationships/hyperlink" Target="mailto:housing@aihw.gov.au" TargetMode="External" Id="R9b76ab3296e6436d" /><Relationship Type="http://schemas.openxmlformats.org/officeDocument/2006/relationships/hyperlink" Target="https://meteor.aihw.gov.au/content/762187" TargetMode="External" Id="R53ce24c6da544eca" /><Relationship Type="http://schemas.openxmlformats.org/officeDocument/2006/relationships/hyperlink" Target="https://meteor.aihw.gov.au/RegistrationAuthority/5" TargetMode="External" Id="R12fe6ab833df4319" /><Relationship Type="http://schemas.openxmlformats.org/officeDocument/2006/relationships/hyperlink" Target="https://meteor.aihw.gov.au/content/788968" TargetMode="External" Id="R316ae1dfd2ad463d" /><Relationship Type="http://schemas.openxmlformats.org/officeDocument/2006/relationships/hyperlink" Target="https://meteor.aihw.gov.au/RegistrationAuthority/5" TargetMode="External" Id="Rb68f2a1e259441ee" /><Relationship Type="http://schemas.openxmlformats.org/officeDocument/2006/relationships/hyperlink" Target="https://meteor.aihw.gov.au/content/711016" TargetMode="External" Id="R725cde8e773f43a8" /><Relationship Type="http://schemas.openxmlformats.org/officeDocument/2006/relationships/hyperlink" Target="https://meteor.aihw.gov.au/RegistrationAuthority/11" TargetMode="External" Id="R03eb3f36cf0f4daf" /><Relationship Type="http://schemas.openxmlformats.org/officeDocument/2006/relationships/hyperlink" Target="https://meteor.aihw.gov.au/content/783467" TargetMode="External" Id="R8d769ad31caa4f3e" /><Relationship Type="http://schemas.openxmlformats.org/officeDocument/2006/relationships/hyperlink" Target="https://meteor.aihw.gov.au/RegistrationAuthority/5" TargetMode="External" Id="Ra289cc22189246a1" /></Relationships>
</file>

<file path=word/_rels/header1.xml.rels>&#65279;<?xml version="1.0" encoding="utf-8"?><Relationships xmlns="http://schemas.openxmlformats.org/package/2006/relationships"><Relationship Type="http://schemas.openxmlformats.org/officeDocument/2006/relationships/image" Target="/media/image.png" Id="R838b99c5accb43b3" /></Relationships>
</file>