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1a3b81cc44b4e"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5411d9027459e">
              <w:r>
                <w:rPr>
                  <w:rStyle w:val="Hyperlink"/>
                  <w:color w:val="244061"/>
                </w:rPr>
                <w:t xml:space="preserve">AIHW Data Quality Statements</w:t>
              </w:r>
            </w:hyperlink>
            <w:r>
              <w:rPr>
                <w:rStyle w:val="row-content"/>
                <w:color w:val="244061"/>
              </w:rPr>
              <w:t xml:space="preserve">, Standard 13/12/2023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2023 National Social Housing Survey (NSHS) collects information from tenants of four social housing programs – public housing (PH), community housing (CH), state owned and managed Indigenous housing (SOMIH) and Indigenous community housing (ICH – Queensland only).</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2023 survey was 26%; for face-to-face it was 65%.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p>
            <w:pPr>
              <w:spacing w:after="160"/>
            </w:pPr>
            <w:r>
              <w:rPr>
                <w:rStyle w:val="row-content-rich-text"/>
                <w:b/>
              </w:rPr>
              <w:t xml:space="preserve">Weighting</w:t>
            </w:r>
          </w:p>
          <w:p>
            <w:pPr/>
            <w:r>
              <w:rPr>
                <w:rStyle w:val="row-content-rich-text"/>
              </w:rPr>
              <w:t xml:space="preserve">Consistent with the 2018 and 2021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2c91f8b58414e77">
              <w:r>
                <w:rPr>
                  <w:rStyle w:val="Hyperlink"/>
                  <w:i/>
                </w:rPr>
                <w:t xml:space="preserve">Australian Institute of Health and Welfare Act 1987</w:t>
              </w:r>
            </w:hyperlink>
            <w:r>
              <w:rPr>
                <w:rStyle w:val="row-content-rich-text"/>
              </w:rPr>
              <w:t xml:space="preserve"> (AIHW Act), governed by a </w:t>
            </w:r>
            <w:hyperlink w:history="true" r:id="R6287e40c78bd4f5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defa8792db4494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d475f141d3e4b3a">
              <w:r>
                <w:rPr>
                  <w:rStyle w:val="Hyperlink"/>
                </w:rPr>
                <w:t xml:space="preserve">AIHW website</w:t>
              </w:r>
            </w:hyperlink>
            <w:r>
              <w:rPr>
                <w:rStyle w:val="row-content-rich-text"/>
              </w:rPr>
              <w:t xml:space="preserve">, which includes details about the </w:t>
            </w:r>
            <w:hyperlink w:history="true" r:id="R3a7856220edc424d">
              <w:r>
                <w:rPr>
                  <w:rStyle w:val="Hyperlink"/>
                </w:rPr>
                <w:t xml:space="preserve">AIHW's governance</w:t>
              </w:r>
            </w:hyperlink>
            <w:r>
              <w:rPr>
                <w:rStyle w:val="row-content-rich-text"/>
              </w:rPr>
              <w:t xml:space="preserve"> and </w:t>
            </w:r>
            <w:hyperlink w:history="true" r:id="R42b939bc07634756">
              <w:r>
                <w:rPr>
                  <w:rStyle w:val="Hyperlink"/>
                </w:rPr>
                <w:t xml:space="preserve">role and strategic goals.</w:t>
              </w:r>
            </w:hyperlink>
          </w:p>
          <w:p>
            <w:pPr/>
            <w:r>
              <w:rPr>
                <w:rStyle w:val="row-content-rich-text"/>
              </w:rPr>
              <w:t xml:space="preserve">The 2023 NSHS was managed jointly by the AIHW and states and territories. Lonergan Research undertook the fieldwork on behalf of the AIHW and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2018, 2021 and 2023. Surveys for SOMIH were conducted in 2005, 2007, 2012, 2014, 2016, 2018, 2021 and 2023. A survey for Indigenous community housing was conducted for Queensland in 2018 and again in 2023. ICH was not conducted in 2021 due to COVID-19 disruptions.</w:t>
            </w:r>
          </w:p>
          <w:p>
            <w:pPr>
              <w:spacing w:after="160"/>
            </w:pPr>
            <w:r>
              <w:rPr>
                <w:rStyle w:val="row-content-rich-text"/>
              </w:rPr>
              <w:t xml:space="preserve">The 2023 fieldwork for the combined mail-out/online components was conducted from 6 April to 16 June for the Australian Capital Territory and from 6 April to 1 September for all other jurisdictions. Fieldwork for the SOMIH face-to-face component was undertaken in New South Wales from 3 June to 21 July and in Queensland from 2 June to 10 July; and for ICH in Queensland from 6 June to 1 September.</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2023 NSHS will be available on the AIHW website (</w:t>
            </w:r>
            <w:hyperlink w:history="true" r:id="Rc70455dafb404d7e">
              <w:r>
                <w:rPr>
                  <w:rStyle w:val="Hyperlink"/>
                </w:rPr>
                <w:t xml:space="preserve">Housing assistance</w:t>
              </w:r>
            </w:hyperlink>
            <w:r>
              <w:rPr>
                <w:rStyle w:val="row-content-rich-text"/>
              </w:rPr>
              <w:t xml:space="preserve">), and the Productivity Commission’s annual </w:t>
            </w:r>
            <w:hyperlink w:history="true" r:id="R417899efcbdc4a90">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09d2956328974f4a">
              <w:r>
                <w:rPr>
                  <w:rStyle w:val="Hyperlink"/>
                </w:rPr>
                <w:t xml:space="preserve">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340ab948208c46d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2023 NSHS results will be available on the AIHW website including the 2023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2023 NSHS was conducted among tenants from PH (all jurisdictions), CH (all jurisdictions except the Northern Territory), SOMIH (New South Wales, Queensland, South Australia and Tasmania), and ICH (Queensland).</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two jurisdictions (South Australia and Tasmania) and face-to-face interview in the other two jurisdictions (New South Wales and Queensland). Queensland ICH tenants completed the survey via face-to-face interviews.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p>
          <w:p>
            <w:pPr>
              <w:spacing w:after="160"/>
            </w:pPr>
            <w:r>
              <w:rPr>
                <w:rStyle w:val="row-content-rich-text"/>
              </w:rPr>
              <w:t xml:space="preserve">Response rates are a key factor contributing to the accuracy of estimates produced from the 2023 NSHS. Higher response rates often lead to estimates that are more accurate.</w:t>
            </w:r>
          </w:p>
          <w:p>
            <w:pPr>
              <w:spacing w:after="160"/>
            </w:pPr>
            <w:r>
              <w:rPr>
                <w:rStyle w:val="row-content-rich-text"/>
              </w:rPr>
              <w:t xml:space="preserve">For PH, CH and SOMIH, 30,455 questionnaires were sent to tenants using the combined mail-out/online approach. Of these, 7,468 responses were categorised as being complete and useable (3,098 online responses and 4,370 paper responses). The 2023 response rate for the combined mail-out/online approach was 26% (the same response rate as 2021). In 2023, 41% of all surveys were completed online – higher than the 2021 online proportion of 37%.</w:t>
            </w:r>
          </w:p>
          <w:p>
            <w:pPr>
              <w:spacing w:after="160"/>
            </w:pPr>
            <w:r>
              <w:rPr>
                <w:rStyle w:val="row-content-rich-text"/>
              </w:rPr>
              <w:t xml:space="preserve">For the jurisdictions where SOMIH tenants completed the survey face-to-face (New South Wales and Queensland), 1,724 interviews were attempted and 1,060 completed, with an overall response rate of 61%.</w:t>
            </w:r>
          </w:p>
          <w:p>
            <w:pPr>
              <w:spacing w:after="160"/>
            </w:pPr>
            <w:r>
              <w:rPr>
                <w:rStyle w:val="row-content-rich-text"/>
              </w:rPr>
              <w:t xml:space="preserve">For Queensland ICH tenants, 646 attempts were made to conduct a face-to-face interview, of which 483 interviews were completed – a response rate of 75%.</w:t>
            </w:r>
          </w:p>
          <w:p>
            <w:pPr>
              <w:spacing w:after="160"/>
            </w:pPr>
            <w:r>
              <w:rPr>
                <w:rStyle w:val="row-content-rich-text"/>
              </w:rPr>
              <w:t xml:space="preserve">Out of the 2,370 attempted face-to-face interviews across SOMIH and ICH, a total of 1,543 interviews were completed – an overall response rate of 65%.</w:t>
            </w:r>
          </w:p>
          <w:p>
            <w:pPr>
              <w:spacing w:after="160"/>
            </w:pPr>
            <w:r>
              <w:rPr>
                <w:rStyle w:val="row-content-rich-text"/>
              </w:rPr>
              <w:t xml:space="preserve">The 2023 response rates varied across jurisdictions (see Table 1).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1: Response rate,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400" w:type="pct"/>
                  <w:vAlign w:val="top"/>
                </w:tcPr>
                <w:p>
                  <w:r>
                    <w:rPr>
                      <w:b/>
                    </w:rPr>
                    <w:t xml:space="preserve">Total responses</w:t>
                  </w:r>
                </w:p>
              </w:tc>
              <w:tc>
                <w:tcPr>
                  <w:tcW w:w="1050" w:type="pct"/>
                  <w:vAlign w:val="top"/>
                </w:tcPr>
                <w:p>
                  <w:r>
                    <w:rPr>
                      <w:b/>
                    </w:rPr>
                    <w:t xml:space="preserve">Response rate (%)</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400" w:type="pct"/>
                  <w:vAlign w:val="top"/>
                </w:tcPr>
                <w:p>
                  <w:r>
                    <w:t xml:space="preserve">457</w:t>
                  </w:r>
                </w:p>
              </w:tc>
              <w:tc>
                <w:tcPr>
                  <w:tcW w:w="1050" w:type="pct"/>
                  <w:vAlign w:val="top"/>
                </w:tcPr>
                <w:p>
                  <w:r>
                    <w:t xml:space="preserve">22</w:t>
                  </w:r>
                </w:p>
              </w:tc>
            </w:tr>
            <w:tr>
              <w:trPr/>
              <w:tc>
                <w:tcPr>
                  <w:tcW w:w="2500" w:type="pct"/>
                  <w:vAlign w:val="top"/>
                </w:tcPr>
                <w:p>
                  <w:r>
                    <w:t xml:space="preserve">Vic</w:t>
                  </w:r>
                </w:p>
              </w:tc>
              <w:tc>
                <w:tcPr>
                  <w:tcW w:w="1400" w:type="pct"/>
                  <w:vAlign w:val="top"/>
                </w:tcPr>
                <w:p>
                  <w:r>
                    <w:t xml:space="preserve">517</w:t>
                  </w:r>
                </w:p>
              </w:tc>
              <w:tc>
                <w:tcPr>
                  <w:tcW w:w="1050" w:type="pct"/>
                  <w:vAlign w:val="top"/>
                </w:tcPr>
                <w:p>
                  <w:r>
                    <w:t xml:space="preserve">27</w:t>
                  </w:r>
                </w:p>
              </w:tc>
            </w:tr>
            <w:tr>
              <w:trPr/>
              <w:tc>
                <w:tcPr>
                  <w:tcW w:w="2500" w:type="pct"/>
                  <w:vAlign w:val="top"/>
                </w:tcPr>
                <w:p>
                  <w:r>
                    <w:t xml:space="preserve">Qld</w:t>
                  </w:r>
                </w:p>
              </w:tc>
              <w:tc>
                <w:tcPr>
                  <w:tcW w:w="1400" w:type="pct"/>
                  <w:vAlign w:val="top"/>
                </w:tcPr>
                <w:p>
                  <w:r>
                    <w:t xml:space="preserve">941</w:t>
                  </w:r>
                </w:p>
              </w:tc>
              <w:tc>
                <w:tcPr>
                  <w:tcW w:w="1050" w:type="pct"/>
                  <w:vAlign w:val="top"/>
                </w:tcPr>
                <w:p>
                  <w:r>
                    <w:t xml:space="preserve">25</w:t>
                  </w:r>
                </w:p>
              </w:tc>
            </w:tr>
            <w:tr>
              <w:trPr/>
              <w:tc>
                <w:tcPr>
                  <w:tcW w:w="2500" w:type="pct"/>
                  <w:vAlign w:val="top"/>
                </w:tcPr>
                <w:p>
                  <w:r>
                    <w:t xml:space="preserve">WA</w:t>
                  </w:r>
                </w:p>
              </w:tc>
              <w:tc>
                <w:tcPr>
                  <w:tcW w:w="1400" w:type="pct"/>
                  <w:vAlign w:val="top"/>
                </w:tcPr>
                <w:p>
                  <w:r>
                    <w:t xml:space="preserve">500</w:t>
                  </w:r>
                </w:p>
              </w:tc>
              <w:tc>
                <w:tcPr>
                  <w:tcW w:w="1050" w:type="pct"/>
                  <w:vAlign w:val="top"/>
                </w:tcPr>
                <w:p>
                  <w:r>
                    <w:t xml:space="preserve">32</w:t>
                  </w:r>
                </w:p>
              </w:tc>
            </w:tr>
            <w:tr>
              <w:trPr/>
              <w:tc>
                <w:tcPr>
                  <w:tcW w:w="2500" w:type="pct"/>
                  <w:vAlign w:val="top"/>
                </w:tcPr>
                <w:p>
                  <w:r>
                    <w:t xml:space="preserve">SA</w:t>
                  </w:r>
                </w:p>
              </w:tc>
              <w:tc>
                <w:tcPr>
                  <w:tcW w:w="1400" w:type="pct"/>
                  <w:vAlign w:val="top"/>
                </w:tcPr>
                <w:p>
                  <w:r>
                    <w:t xml:space="preserve">500</w:t>
                  </w:r>
                </w:p>
              </w:tc>
              <w:tc>
                <w:tcPr>
                  <w:tcW w:w="1050" w:type="pct"/>
                  <w:vAlign w:val="top"/>
                </w:tcPr>
                <w:p>
                  <w:r>
                    <w:t xml:space="preserve">37</w:t>
                  </w:r>
                </w:p>
              </w:tc>
            </w:tr>
            <w:tr>
              <w:trPr/>
              <w:tc>
                <w:tcPr>
                  <w:tcW w:w="2500" w:type="pct"/>
                  <w:vAlign w:val="top"/>
                </w:tcPr>
                <w:p>
                  <w:r>
                    <w:t xml:space="preserve">Tas</w:t>
                  </w:r>
                </w:p>
              </w:tc>
              <w:tc>
                <w:tcPr>
                  <w:tcW w:w="1400" w:type="pct"/>
                  <w:vAlign w:val="top"/>
                </w:tcPr>
                <w:p>
                  <w:r>
                    <w:t xml:space="preserve">397</w:t>
                  </w:r>
                </w:p>
              </w:tc>
              <w:tc>
                <w:tcPr>
                  <w:tcW w:w="1050" w:type="pct"/>
                  <w:vAlign w:val="top"/>
                </w:tcPr>
                <w:p>
                  <w:r>
                    <w:t xml:space="preserve">34</w:t>
                  </w:r>
                </w:p>
              </w:tc>
            </w:tr>
            <w:tr>
              <w:trPr/>
              <w:tc>
                <w:tcPr>
                  <w:tcW w:w="2500" w:type="pct"/>
                  <w:vAlign w:val="top"/>
                </w:tcPr>
                <w:p>
                  <w:r>
                    <w:t xml:space="preserve">ACT</w:t>
                  </w:r>
                </w:p>
              </w:tc>
              <w:tc>
                <w:tcPr>
                  <w:tcW w:w="1400" w:type="pct"/>
                  <w:vAlign w:val="top"/>
                </w:tcPr>
                <w:p>
                  <w:r>
                    <w:t xml:space="preserve">524</w:t>
                  </w:r>
                </w:p>
              </w:tc>
              <w:tc>
                <w:tcPr>
                  <w:tcW w:w="1050" w:type="pct"/>
                  <w:vAlign w:val="top"/>
                </w:tcPr>
                <w:p>
                  <w:r>
                    <w:t xml:space="preserve">33</w:t>
                  </w:r>
                </w:p>
              </w:tc>
            </w:tr>
            <w:tr>
              <w:trPr/>
              <w:tc>
                <w:tcPr>
                  <w:tcW w:w="2500" w:type="pct"/>
                  <w:vAlign w:val="top"/>
                </w:tcPr>
                <w:p>
                  <w:r>
                    <w:t xml:space="preserve">NT</w:t>
                  </w:r>
                </w:p>
              </w:tc>
              <w:tc>
                <w:tcPr>
                  <w:tcW w:w="1400" w:type="pct"/>
                  <w:vAlign w:val="top"/>
                </w:tcPr>
                <w:p>
                  <w:r>
                    <w:t xml:space="preserve">464</w:t>
                  </w:r>
                </w:p>
              </w:tc>
              <w:tc>
                <w:tcPr>
                  <w:tcW w:w="1050" w:type="pct"/>
                  <w:vAlign w:val="top"/>
                </w:tcPr>
                <w:p>
                  <w:r>
                    <w:t xml:space="preserve">18</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400" w:type="pct"/>
                  <w:vAlign w:val="top"/>
                </w:tcPr>
                <w:p>
                  <w:r>
                    <w:t xml:space="preserve">529</w:t>
                  </w:r>
                </w:p>
              </w:tc>
              <w:tc>
                <w:tcPr>
                  <w:tcW w:w="1050" w:type="pct"/>
                  <w:vAlign w:val="top"/>
                </w:tcPr>
                <w:p>
                  <w:r>
                    <w:t xml:space="preserve">23</w:t>
                  </w:r>
                </w:p>
              </w:tc>
            </w:tr>
            <w:tr>
              <w:trPr/>
              <w:tc>
                <w:tcPr>
                  <w:tcW w:w="2500" w:type="pct"/>
                  <w:vAlign w:val="top"/>
                </w:tcPr>
                <w:p>
                  <w:r>
                    <w:t xml:space="preserve">Vic</w:t>
                  </w:r>
                </w:p>
              </w:tc>
              <w:tc>
                <w:tcPr>
                  <w:tcW w:w="1400" w:type="pct"/>
                  <w:vAlign w:val="top"/>
                </w:tcPr>
                <w:p>
                  <w:r>
                    <w:t xml:space="preserve">344</w:t>
                  </w:r>
                </w:p>
              </w:tc>
              <w:tc>
                <w:tcPr>
                  <w:tcW w:w="1050" w:type="pct"/>
                  <w:vAlign w:val="top"/>
                </w:tcPr>
                <w:p>
                  <w:r>
                    <w:t xml:space="preserve">23</w:t>
                  </w:r>
                </w:p>
              </w:tc>
            </w:tr>
            <w:tr>
              <w:trPr/>
              <w:tc>
                <w:tcPr>
                  <w:tcW w:w="2500" w:type="pct"/>
                  <w:vAlign w:val="top"/>
                </w:tcPr>
                <w:p>
                  <w:r>
                    <w:t xml:space="preserve">Qld</w:t>
                  </w:r>
                </w:p>
              </w:tc>
              <w:tc>
                <w:tcPr>
                  <w:tcW w:w="1400" w:type="pct"/>
                  <w:vAlign w:val="top"/>
                </w:tcPr>
                <w:p>
                  <w:r>
                    <w:t xml:space="preserve">502</w:t>
                  </w:r>
                </w:p>
              </w:tc>
              <w:tc>
                <w:tcPr>
                  <w:tcW w:w="1050" w:type="pct"/>
                  <w:vAlign w:val="top"/>
                </w:tcPr>
                <w:p>
                  <w:r>
                    <w:t xml:space="preserve">29</w:t>
                  </w:r>
                </w:p>
              </w:tc>
            </w:tr>
            <w:tr>
              <w:trPr/>
              <w:tc>
                <w:tcPr>
                  <w:tcW w:w="2500" w:type="pct"/>
                  <w:vAlign w:val="top"/>
                </w:tcPr>
                <w:p>
                  <w:r>
                    <w:t xml:space="preserve">WA</w:t>
                  </w:r>
                </w:p>
              </w:tc>
              <w:tc>
                <w:tcPr>
                  <w:tcW w:w="1400" w:type="pct"/>
                  <w:vAlign w:val="top"/>
                </w:tcPr>
                <w:p>
                  <w:r>
                    <w:t xml:space="preserve">336</w:t>
                  </w:r>
                </w:p>
              </w:tc>
              <w:tc>
                <w:tcPr>
                  <w:tcW w:w="1050" w:type="pct"/>
                  <w:vAlign w:val="top"/>
                </w:tcPr>
                <w:p>
                  <w:r>
                    <w:t xml:space="preserve">31</w:t>
                  </w:r>
                </w:p>
              </w:tc>
            </w:tr>
            <w:tr>
              <w:trPr/>
              <w:tc>
                <w:tcPr>
                  <w:tcW w:w="2500" w:type="pct"/>
                  <w:vAlign w:val="top"/>
                </w:tcPr>
                <w:p>
                  <w:r>
                    <w:t xml:space="preserve">SA</w:t>
                  </w:r>
                </w:p>
              </w:tc>
              <w:tc>
                <w:tcPr>
                  <w:tcW w:w="1400" w:type="pct"/>
                  <w:vAlign w:val="top"/>
                </w:tcPr>
                <w:p>
                  <w:r>
                    <w:t xml:space="preserve">653</w:t>
                  </w:r>
                </w:p>
              </w:tc>
              <w:tc>
                <w:tcPr>
                  <w:tcW w:w="1050" w:type="pct"/>
                  <w:vAlign w:val="top"/>
                </w:tcPr>
                <w:p>
                  <w:r>
                    <w:t xml:space="preserve">25</w:t>
                  </w:r>
                </w:p>
              </w:tc>
            </w:tr>
            <w:tr>
              <w:trPr/>
              <w:tc>
                <w:tcPr>
                  <w:tcW w:w="2500" w:type="pct"/>
                  <w:vAlign w:val="top"/>
                </w:tcPr>
                <w:p>
                  <w:r>
                    <w:t xml:space="preserve">Tas</w:t>
                  </w:r>
                </w:p>
              </w:tc>
              <w:tc>
                <w:tcPr>
                  <w:tcW w:w="1400" w:type="pct"/>
                  <w:vAlign w:val="top"/>
                </w:tcPr>
                <w:p>
                  <w:r>
                    <w:t xml:space="preserve">384</w:t>
                  </w:r>
                </w:p>
              </w:tc>
              <w:tc>
                <w:tcPr>
                  <w:tcW w:w="1050" w:type="pct"/>
                  <w:vAlign w:val="top"/>
                </w:tcPr>
                <w:p>
                  <w:r>
                    <w:t xml:space="preserve">25</w:t>
                  </w:r>
                </w:p>
              </w:tc>
            </w:tr>
            <w:tr>
              <w:trPr/>
              <w:tc>
                <w:tcPr>
                  <w:tcW w:w="2500" w:type="pct"/>
                  <w:vAlign w:val="top"/>
                </w:tcPr>
                <w:p>
                  <w:r>
                    <w:t xml:space="preserve">ACT</w:t>
                  </w:r>
                </w:p>
              </w:tc>
              <w:tc>
                <w:tcPr>
                  <w:tcW w:w="1400" w:type="pct"/>
                  <w:vAlign w:val="top"/>
                </w:tcPr>
                <w:p>
                  <w:r>
                    <w:t xml:space="preserve">167</w:t>
                  </w:r>
                </w:p>
              </w:tc>
              <w:tc>
                <w:tcPr>
                  <w:tcW w:w="1050" w:type="pct"/>
                  <w:vAlign w:val="top"/>
                </w:tcPr>
                <w:p>
                  <w:r>
                    <w:t xml:space="preserve">23</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400" w:type="pct"/>
                  <w:vAlign w:val="top"/>
                </w:tcPr>
                <w:p>
                  <w:r>
                    <w:t xml:space="preserve">548</w:t>
                  </w:r>
                </w:p>
              </w:tc>
              <w:tc>
                <w:tcPr>
                  <w:tcW w:w="1050" w:type="pct"/>
                  <w:vAlign w:val="top"/>
                </w:tcPr>
                <w:p>
                  <w:r>
                    <w:t xml:space="preserve">56</w:t>
                  </w:r>
                </w:p>
              </w:tc>
            </w:tr>
            <w:tr>
              <w:trPr/>
              <w:tc>
                <w:tcPr>
                  <w:tcW w:w="2500" w:type="pct"/>
                  <w:vAlign w:val="top"/>
                </w:tcPr>
                <w:p>
                  <w:r>
                    <w:t xml:space="preserve">Qld (face-to-face)</w:t>
                  </w:r>
                </w:p>
              </w:tc>
              <w:tc>
                <w:tcPr>
                  <w:tcW w:w="1400" w:type="pct"/>
                  <w:vAlign w:val="top"/>
                </w:tcPr>
                <w:p>
                  <w:r>
                    <w:t xml:space="preserve">512</w:t>
                  </w:r>
                </w:p>
              </w:tc>
              <w:tc>
                <w:tcPr>
                  <w:tcW w:w="1050" w:type="pct"/>
                  <w:vAlign w:val="top"/>
                </w:tcPr>
                <w:p>
                  <w:r>
                    <w:t xml:space="preserve">68</w:t>
                  </w:r>
                </w:p>
              </w:tc>
            </w:tr>
            <w:tr>
              <w:trPr/>
              <w:tc>
                <w:tcPr>
                  <w:tcW w:w="2500" w:type="pct"/>
                  <w:vAlign w:val="top"/>
                </w:tcPr>
                <w:p>
                  <w:r>
                    <w:t xml:space="preserve">SA</w:t>
                  </w:r>
                </w:p>
              </w:tc>
              <w:tc>
                <w:tcPr>
                  <w:tcW w:w="1400" w:type="pct"/>
                  <w:vAlign w:val="top"/>
                </w:tcPr>
                <w:p>
                  <w:r>
                    <w:t xml:space="preserve">226</w:t>
                  </w:r>
                </w:p>
              </w:tc>
              <w:tc>
                <w:tcPr>
                  <w:tcW w:w="1050" w:type="pct"/>
                  <w:vAlign w:val="top"/>
                </w:tcPr>
                <w:p>
                  <w:r>
                    <w:t xml:space="preserve">18</w:t>
                  </w:r>
                </w:p>
              </w:tc>
            </w:tr>
            <w:tr>
              <w:trPr/>
              <w:tc>
                <w:tcPr>
                  <w:tcW w:w="2500" w:type="pct"/>
                  <w:vAlign w:val="top"/>
                </w:tcPr>
                <w:p>
                  <w:r>
                    <w:t xml:space="preserve">Tas</w:t>
                  </w:r>
                </w:p>
              </w:tc>
              <w:tc>
                <w:tcPr>
                  <w:tcW w:w="1400" w:type="pct"/>
                  <w:vAlign w:val="top"/>
                </w:tcPr>
                <w:p>
                  <w:r>
                    <w:t xml:space="preserve">27</w:t>
                  </w:r>
                </w:p>
              </w:tc>
              <w:tc>
                <w:tcPr>
                  <w:tcW w:w="1050" w:type="pct"/>
                  <w:vAlign w:val="top"/>
                </w:tcPr>
                <w:p>
                  <w:r>
                    <w:t xml:space="preserve">17</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400" w:type="pct"/>
                  <w:vAlign w:val="top"/>
                </w:tcPr>
                <w:p>
                  <w:r>
                    <w:t xml:space="preserve">483</w:t>
                  </w:r>
                </w:p>
              </w:tc>
              <w:tc>
                <w:tcPr>
                  <w:tcW w:w="1050" w:type="pct"/>
                  <w:vAlign w:val="top"/>
                </w:tcPr>
                <w:p>
                  <w:r>
                    <w:t xml:space="preserve">75</w:t>
                  </w:r>
                </w:p>
              </w:tc>
            </w:tr>
          </w:tbl>
          <w:p>
            <w:r>
              <w:t xml:space="preserve"> </w:t>
            </w:r>
          </w:p>
          <w:p>
            <w:r>
              <w:rPr>
                <w:b/>
              </w:rPr>
              <w:t xml:space="preserve">Sample design</w:t>
            </w:r>
          </w:p>
          <w:p>
            <w:r>
              <w:t xml:space="preserve">The 2023 NSHS was designed to meet minimum reliability objectives for key variables for each participating jurisdiction/housing program.</w:t>
            </w:r>
          </w:p>
          <w:p>
            <w:r>
              <w:t xml:space="preserve">Stratified sampling was undertaken to reduce sampling error and maximise the chance that jurisdiction/housing program sample targets were met.</w:t>
            </w:r>
          </w:p>
          <w:p>
            <w:r>
              <w:t xml:space="preserve">In 2023, minimum sample quotas were employed for remoteness-based strata to improve the reliability of estimates for some of the jurisdiction/housing program/remoteness-based populations that have smaller populations.</w:t>
            </w:r>
          </w:p>
          <w:p>
            <w:r>
              <w:t xml:space="preserve">Quotas were set for each jurisdiction/housing program strata (see Table 2). After the initial mail-out, booster samples were lodged (see Table 2).</w:t>
            </w:r>
          </w:p>
          <w:p>
            <w:r>
              <w:rPr>
                <w:b/>
              </w:rPr>
              <w:t xml:space="preserve">Table 2: Quotas and booster samples,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r>
                    <w:rPr>
                      <w:b/>
                    </w:rPr>
                    <w:t xml:space="preserve">Program/Jurisdiction</w:t>
                  </w:r>
                </w:p>
              </w:tc>
              <w:tc>
                <w:tcPr>
                  <w:tcW w:w="1350" w:type="pct"/>
                  <w:vAlign w:val="top"/>
                </w:tcPr>
                <w:p>
                  <w:r>
                    <w:rPr>
                      <w:b/>
                    </w:rPr>
                    <w:t xml:space="preserve">Quota</w:t>
                  </w:r>
                </w:p>
              </w:tc>
              <w:tc>
                <w:tcPr>
                  <w:tcW w:w="1100" w:type="pct"/>
                  <w:vAlign w:val="top"/>
                </w:tcPr>
                <w:p>
                  <w:r>
                    <w:rPr>
                      <w:b/>
                    </w:rPr>
                    <w:t xml:space="preserve">Booster</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350" w:type="pct"/>
                  <w:vAlign w:val="top"/>
                </w:tcPr>
                <w:p>
                  <w:r>
                    <w:t xml:space="preserve">500</w:t>
                  </w:r>
                </w:p>
              </w:tc>
              <w:tc>
                <w:tcPr>
                  <w:tcW w:w="1100" w:type="pct"/>
                  <w:vAlign w:val="top"/>
                </w:tcPr>
                <w:p>
                  <w:r>
                    <w:t xml:space="preserve">514</w:t>
                  </w:r>
                </w:p>
              </w:tc>
            </w:tr>
            <w:tr>
              <w:trPr/>
              <w:tc>
                <w:tcPr>
                  <w:tcW w:w="2500" w:type="pct"/>
                  <w:vAlign w:val="top"/>
                </w:tcPr>
                <w:p>
                  <w:r>
                    <w:t xml:space="preserve">Vic</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Qld</w:t>
                  </w:r>
                </w:p>
              </w:tc>
              <w:tc>
                <w:tcPr>
                  <w:tcW w:w="1350" w:type="pct"/>
                  <w:vAlign w:val="top"/>
                </w:tcPr>
                <w:p>
                  <w:r>
                    <w:t xml:space="preserve">1,000</w:t>
                  </w:r>
                </w:p>
              </w:tc>
              <w:tc>
                <w:tcPr>
                  <w:tcW w:w="1100" w:type="pct"/>
                  <w:vAlign w:val="top"/>
                </w:tcPr>
                <w:p>
                  <w:r>
                    <w:t xml:space="preserve">832</w:t>
                  </w:r>
                </w:p>
              </w:tc>
            </w:tr>
            <w:tr>
              <w:trPr/>
              <w:tc>
                <w:tcPr>
                  <w:tcW w:w="2500" w:type="pct"/>
                  <w:vAlign w:val="top"/>
                </w:tcPr>
                <w:p>
                  <w:r>
                    <w:t xml:space="preserve">WA</w:t>
                  </w:r>
                </w:p>
              </w:tc>
              <w:tc>
                <w:tcPr>
                  <w:tcW w:w="1350" w:type="pct"/>
                  <w:vAlign w:val="top"/>
                </w:tcPr>
                <w:p>
                  <w:r>
                    <w:t xml:space="preserve">500</w:t>
                  </w:r>
                </w:p>
              </w:tc>
              <w:tc>
                <w:tcPr>
                  <w:tcW w:w="1100" w:type="pct"/>
                  <w:vAlign w:val="top"/>
                </w:tcPr>
                <w:p>
                  <w:r>
                    <w:t xml:space="preserve">56</w:t>
                  </w:r>
                </w:p>
              </w:tc>
            </w:tr>
            <w:tr>
              <w:trPr/>
              <w:tc>
                <w:tcPr>
                  <w:tcW w:w="2500" w:type="pct"/>
                  <w:vAlign w:val="top"/>
                </w:tcPr>
                <w:p>
                  <w:r>
                    <w:t xml:space="preserve">SA</w:t>
                  </w:r>
                </w:p>
              </w:tc>
              <w:tc>
                <w:tcPr>
                  <w:tcW w:w="1350" w:type="pct"/>
                  <w:vAlign w:val="top"/>
                </w:tcPr>
                <w:p>
                  <w:r>
                    <w:t xml:space="preserve">500</w:t>
                  </w:r>
                </w:p>
              </w:tc>
              <w:tc>
                <w:tcPr>
                  <w:tcW w:w="1100" w:type="pct"/>
                  <w:vAlign w:val="top"/>
                </w:tcPr>
                <w:p>
                  <w:r>
                    <w:t xml:space="preserve">159</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91</w:t>
                  </w:r>
                </w:p>
              </w:tc>
            </w:tr>
            <w:tr>
              <w:trPr/>
              <w:tc>
                <w:tcPr>
                  <w:tcW w:w="2500" w:type="pct"/>
                  <w:vAlign w:val="top"/>
                </w:tcPr>
                <w:p>
                  <w:r>
                    <w:t xml:space="preserve">ACT</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NT</w:t>
                  </w:r>
                </w:p>
              </w:tc>
              <w:tc>
                <w:tcPr>
                  <w:tcW w:w="1350" w:type="pct"/>
                  <w:vAlign w:val="top"/>
                </w:tcPr>
                <w:p>
                  <w:r>
                    <w:t xml:space="preserve">500</w:t>
                  </w:r>
                </w:p>
              </w:tc>
              <w:tc>
                <w:tcPr>
                  <w:tcW w:w="1100" w:type="pct"/>
                  <w:vAlign w:val="top"/>
                </w:tcPr>
                <w:p>
                  <w:r>
                    <w:t xml:space="preserve">533</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350" w:type="pct"/>
                  <w:vAlign w:val="top"/>
                </w:tcPr>
                <w:p>
                  <w:r>
                    <w:t xml:space="preserve">540</w:t>
                  </w:r>
                </w:p>
              </w:tc>
              <w:tc>
                <w:tcPr>
                  <w:tcW w:w="1100" w:type="pct"/>
                  <w:vAlign w:val="top"/>
                </w:tcPr>
                <w:p>
                  <w:r>
                    <w:t xml:space="preserve">48</w:t>
                  </w:r>
                </w:p>
              </w:tc>
            </w:tr>
            <w:tr>
              <w:trPr/>
              <w:tc>
                <w:tcPr>
                  <w:tcW w:w="2500" w:type="pct"/>
                  <w:vAlign w:val="top"/>
                </w:tcPr>
                <w:p>
                  <w:r>
                    <w:t xml:space="preserve">Vic</w:t>
                  </w:r>
                </w:p>
              </w:tc>
              <w:tc>
                <w:tcPr>
                  <w:tcW w:w="1350" w:type="pct"/>
                  <w:vAlign w:val="top"/>
                </w:tcPr>
                <w:p>
                  <w:r>
                    <w:t xml:space="preserve">350</w:t>
                  </w:r>
                </w:p>
              </w:tc>
              <w:tc>
                <w:tcPr>
                  <w:tcW w:w="1100" w:type="pct"/>
                  <w:vAlign w:val="top"/>
                </w:tcPr>
                <w:p>
                  <w:r>
                    <w:t xml:space="preserve">176</w:t>
                  </w:r>
                </w:p>
              </w:tc>
            </w:tr>
            <w:tr>
              <w:trPr/>
              <w:tc>
                <w:tcPr>
                  <w:tcW w:w="2500" w:type="pct"/>
                  <w:vAlign w:val="top"/>
                </w:tcPr>
                <w:p>
                  <w:r>
                    <w:t xml:space="preserve">Qld</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WA</w:t>
                  </w:r>
                </w:p>
              </w:tc>
              <w:tc>
                <w:tcPr>
                  <w:tcW w:w="1350" w:type="pct"/>
                  <w:vAlign w:val="top"/>
                </w:tcPr>
                <w:p>
                  <w:r>
                    <w:t xml:space="preserve">350</w:t>
                  </w:r>
                </w:p>
              </w:tc>
              <w:tc>
                <w:tcPr>
                  <w:tcW w:w="1100" w:type="pct"/>
                  <w:vAlign w:val="top"/>
                </w:tcPr>
                <w:p>
                  <w:r>
                    <w:t xml:space="preserve">45</w:t>
                  </w:r>
                </w:p>
              </w:tc>
            </w:tr>
            <w:tr>
              <w:trPr/>
              <w:tc>
                <w:tcPr>
                  <w:tcW w:w="2500" w:type="pct"/>
                  <w:vAlign w:val="top"/>
                </w:tcPr>
                <w:p>
                  <w:r>
                    <w:t xml:space="preserve">SA</w:t>
                  </w:r>
                </w:p>
              </w:tc>
              <w:tc>
                <w:tcPr>
                  <w:tcW w:w="1350" w:type="pct"/>
                  <w:vAlign w:val="top"/>
                </w:tcPr>
                <w:p>
                  <w:r>
                    <w:t xml:space="preserve">700</w:t>
                  </w:r>
                </w:p>
              </w:tc>
              <w:tc>
                <w:tcPr>
                  <w:tcW w:w="1100" w:type="pct"/>
                  <w:vAlign w:val="top"/>
                </w:tcPr>
                <w:p>
                  <w:r>
                    <w:t xml:space="preserve">647</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209</w:t>
                  </w:r>
                </w:p>
              </w:tc>
            </w:tr>
            <w:tr>
              <w:trPr/>
              <w:tc>
                <w:tcPr>
                  <w:tcW w:w="2500" w:type="pct"/>
                  <w:vAlign w:val="top"/>
                </w:tcPr>
                <w:p>
                  <w:r>
                    <w:t xml:space="preserve">ACT</w:t>
                  </w:r>
                </w:p>
              </w:tc>
              <w:tc>
                <w:tcPr>
                  <w:tcW w:w="1350" w:type="pct"/>
                  <w:vAlign w:val="top"/>
                </w:tcPr>
                <w:p>
                  <w:r>
                    <w:t xml:space="preserve">200</w:t>
                  </w:r>
                </w:p>
              </w:tc>
              <w:tc>
                <w:tcPr>
                  <w:tcW w:w="1100" w:type="pct"/>
                  <w:vAlign w:val="top"/>
                </w:tcPr>
                <w:p>
                  <w:r>
                    <w:t xml:space="preserve">**</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SA</w:t>
                  </w:r>
                </w:p>
              </w:tc>
              <w:tc>
                <w:tcPr>
                  <w:tcW w:w="1350" w:type="pct"/>
                  <w:vAlign w:val="top"/>
                </w:tcPr>
                <w:p>
                  <w:r>
                    <w:t xml:space="preserve">300</w:t>
                  </w:r>
                </w:p>
              </w:tc>
              <w:tc>
                <w:tcPr>
                  <w:tcW w:w="1100" w:type="pct"/>
                  <w:vAlign w:val="top"/>
                </w:tcPr>
                <w:p>
                  <w:r>
                    <w:t xml:space="preserve">. .</w:t>
                  </w:r>
                </w:p>
              </w:tc>
            </w:tr>
            <w:tr>
              <w:trPr/>
              <w:tc>
                <w:tcPr>
                  <w:tcW w:w="2500" w:type="pct"/>
                  <w:vAlign w:val="top"/>
                </w:tcPr>
                <w:p>
                  <w:r>
                    <w:t xml:space="preserve">Tas</w:t>
                  </w:r>
                </w:p>
              </w:tc>
              <w:tc>
                <w:tcPr>
                  <w:tcW w:w="1350" w:type="pct"/>
                  <w:vAlign w:val="top"/>
                </w:tcPr>
                <w:p>
                  <w:r>
                    <w:t xml:space="preserve">200</w:t>
                  </w:r>
                </w:p>
              </w:tc>
              <w:tc>
                <w:tcPr>
                  <w:tcW w:w="1100" w:type="pct"/>
                  <w:vAlign w:val="top"/>
                </w:tcPr>
                <w:p>
                  <w:r>
                    <w:t xml:space="preserve">. .</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bl>
          <w:p>
            <w:r>
              <w:t xml:space="preserve">* A booster send was not required.</w:t>
            </w:r>
          </w:p>
          <w:p>
            <w:r>
              <w:t xml:space="preserve">** Census send so a boost was not applicable.</w:t>
            </w:r>
          </w:p>
          <w:p>
            <w:r>
              <w:t xml:space="preserve">. . SOMIH jurisdictions were face-to-face interview or Census sends so a boost was not applicable.</w:t>
            </w:r>
          </w:p>
          <w:p>
            <w:r>
              <w:rPr>
                <w:b/>
              </w:rPr>
              <w:t xml:space="preserve">Sampling error</w:t>
            </w:r>
          </w:p>
          <w:p>
            <w:r>
              <w:t xml:space="preserve">The estimates are subject to sampling error. Relative standard errors (RSEs) are provided with estimates from the 2023 NSHS to assist the reader assess the reliability of the estimates. Only estimates with RSEs of less than 25% are considered sufficiently reliable for most purposes. Results subject to RSEs of between 25% and 50% should be considered with caution and those with RSEs greater than 50% should be considered as unreliable for most purposes.</w:t>
            </w:r>
          </w:p>
          <w:p>
            <w:r>
              <w:rPr>
                <w:b/>
              </w:rPr>
              <w:t xml:space="preserve">Non-sampling error</w:t>
            </w:r>
          </w:p>
          <w:p>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Non-sampling errors can also arise from coverage, interviewer or processing errors. It is also expected there is some level of non-response error where there are higher levels of non-response from certain subpopulations.</w:t>
            </w:r>
          </w:p>
          <w:p>
            <w:r>
              <w:rPr>
                <w:b/>
              </w:rPr>
              <w:t xml:space="preserve">Missing data</w:t>
            </w:r>
          </w:p>
          <w:p>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2023 NSHS, caution should be used when comparing trend data or data between jurisdictions due to differences in response rates and non-sampling error.</w:t>
            </w:r>
          </w:p>
          <w:p>
            <w:pPr>
              <w:spacing w:after="160"/>
            </w:pPr>
            <w:r>
              <w:rPr>
                <w:rStyle w:val="row-content-rich-text"/>
              </w:rPr>
              <w:t xml:space="preserve">The 2023 NSHS sampling and stratification methods were similar to the 2018 and 2021 surveys: a sample was randomly selected from each stratum.</w:t>
            </w:r>
          </w:p>
          <w:p>
            <w:pPr>
              <w:spacing w:after="160"/>
            </w:pPr>
            <w:r>
              <w:rPr>
                <w:rStyle w:val="row-content-rich-text"/>
              </w:rPr>
              <w:t xml:space="preserve">The data collected for SOMIH was sourced using two methodologies (via mail-out in two jurisdictions and via face-to-face interview in two jurisdictions). Trend data from before 2016 and comparisons between jurisdictions should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2023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6311da62d14d5e">
              <w:r>
                <w:rPr>
                  <w:rStyle w:val="Hyperlink"/>
                </w:rPr>
                <w:t xml:space="preserve">National Social Housing Survey, 2021; Quality Statement</w:t>
              </w:r>
            </w:hyperlink>
          </w:p>
          <w:p>
            <w:pPr>
              <w:spacing w:before="0" w:after="0"/>
            </w:pPr>
            <w:r>
              <w:rPr>
                <w:rStyle w:val="row-content"/>
                <w:color w:val="244061"/>
              </w:rPr>
              <w:t xml:space="preserve">       </w:t>
            </w:r>
            <w:hyperlink w:history="true" r:id="Rba2cd94bb7d545c4">
              <w:r>
                <w:rPr>
                  <w:rStyle w:val="Hyperlink"/>
                  <w:color w:val="244061"/>
                </w:rPr>
                <w:t xml:space="preserve">AIHW Data Quality Statements</w:t>
              </w:r>
            </w:hyperlink>
            <w:r>
              <w:rPr>
                <w:rStyle w:val="row-content"/>
                <w:color w:val="244061"/>
              </w:rPr>
              <w:t xml:space="preserve">, Superseded 13/12/2023</w:t>
            </w:r>
          </w:p>
          <w:p>
            <w:r>
              <w:br/>
            </w:r>
          </w:p>
        </w:tc>
      </w:tr>
    </w:tbl>
    <w:p>
      <w:r>
        <w:br/>
      </w:r>
    </w:p>
    <w:sectPr>
      <w:footerReference xmlns:r="http://schemas.openxmlformats.org/officeDocument/2006/relationships" w:type="default" r:id="R5a7597065e9a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ffb4121d3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597065e9a4bfa" /><Relationship Type="http://schemas.openxmlformats.org/officeDocument/2006/relationships/header" Target="/word/header1.xml" Id="Rd852933b08064f44" /><Relationship Type="http://schemas.openxmlformats.org/officeDocument/2006/relationships/settings" Target="/word/settings.xml" Id="R5a6da307b6b4416d" /><Relationship Type="http://schemas.openxmlformats.org/officeDocument/2006/relationships/styles" Target="/word/styles.xml" Id="R0757f0a9cfaa4326" /><Relationship Type="http://schemas.openxmlformats.org/officeDocument/2006/relationships/hyperlink" Target="https://meteor.aihw.gov.au/RegistrationAuthority/5" TargetMode="External" Id="Rf005411d9027459e" /><Relationship Type="http://schemas.openxmlformats.org/officeDocument/2006/relationships/numbering" Target="/word/numbering.xml" Id="R68511fa7e6094adc" /><Relationship Type="http://schemas.openxmlformats.org/officeDocument/2006/relationships/hyperlink" Target="https://www.legislation.gov.au/Series/C2004A03450" TargetMode="External" Id="R22c91f8b58414e77" /><Relationship Type="http://schemas.openxmlformats.org/officeDocument/2006/relationships/hyperlink" Target="https://www.aihw.gov.au/about-us/our-governance" TargetMode="External" Id="R6287e40c78bd4f52" /><Relationship Type="http://schemas.openxmlformats.org/officeDocument/2006/relationships/hyperlink" Target="https://www.legislation.gov.au/Series/C2004A03712" TargetMode="External" Id="R9defa8792db44949" /><Relationship Type="http://schemas.openxmlformats.org/officeDocument/2006/relationships/hyperlink" Target="https://www.aihw.gov.au/about-us" TargetMode="External" Id="R6d475f141d3e4b3a" /><Relationship Type="http://schemas.openxmlformats.org/officeDocument/2006/relationships/hyperlink" Target="https://www.aihw.gov.au/about-us/our-governance" TargetMode="External" Id="R3a7856220edc424d" /><Relationship Type="http://schemas.openxmlformats.org/officeDocument/2006/relationships/hyperlink" Target="https://www.aihw.gov.au/about-us/what-we-do" TargetMode="External" Id="R42b939bc07634756" /><Relationship Type="http://schemas.openxmlformats.org/officeDocument/2006/relationships/hyperlink" Target="https://www.aihw.gov.au/reports-data/health-welfare-services/housing-assistance/overview" TargetMode="External" Id="Rc70455dafb404d7e" /><Relationship Type="http://schemas.openxmlformats.org/officeDocument/2006/relationships/hyperlink" Target="http://www.pc.gov.au/research/ongoing/report-on-government-services" TargetMode="External" Id="R417899efcbdc4a90" /><Relationship Type="http://schemas.openxmlformats.org/officeDocument/2006/relationships/hyperlink" Target="https://www.aihw.gov.au/our-services/data-on-request" TargetMode="External" Id="R09d2956328974f4a" /><Relationship Type="http://schemas.openxmlformats.org/officeDocument/2006/relationships/hyperlink" Target="mailto:info@aihw.gov.au" TargetMode="External" Id="R340ab948208c46de" /><Relationship Type="http://schemas.openxmlformats.org/officeDocument/2006/relationships/hyperlink" Target="https://meteor.aihw.gov.au/content/748649" TargetMode="External" Id="Rc86311da62d14d5e" /><Relationship Type="http://schemas.openxmlformats.org/officeDocument/2006/relationships/hyperlink" Target="https://meteor.aihw.gov.au/RegistrationAuthority/5" TargetMode="External" Id="Rba2cd94bb7d545c4" /></Relationships>
</file>

<file path=word/_rels/header1.xml.rels>&#65279;<?xml version="1.0" encoding="utf-8"?><Relationships xmlns="http://schemas.openxmlformats.org/package/2006/relationships"><Relationship Type="http://schemas.openxmlformats.org/officeDocument/2006/relationships/image" Target="/media/image.png" Id="R377ffb4121d34aa9" /></Relationships>
</file>