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24ab90362b24a78" /></Relationships>
</file>

<file path=word/document.xml><?xml version="1.0" encoding="utf-8"?>
<w:document xmlns:r="http://schemas.openxmlformats.org/officeDocument/2006/relationships" xmlns:w="http://schemas.openxmlformats.org/wordprocessingml/2006/main">
  <w:body>
    <w:p>
      <w:pPr>
        <w:pStyle w:val="Title"/>
      </w:pPr>
      <w:r>
        <w:t>Person—Indigenous health assessment type,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Person—Indigenous health assessment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Indigenous health assessment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782805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56d4226c1644321">
              <w:r>
                <w:rPr>
                  <w:rStyle w:val="Hyperlink"/>
                  <w:color w:val="244061"/>
                </w:rPr>
                <w:t xml:space="preserve">Indigenous</w:t>
              </w:r>
            </w:hyperlink>
            <w:r>
              <w:rPr>
                <w:rStyle w:val="row-content"/>
                <w:color w:val="244061"/>
              </w:rPr>
              <w:t xml:space="preserve">, Superseded 25/02/2024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Aboriginal and Torres Strait Islander health assessment that has been completed for a person,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d897ff9ab46b4543">
              <w:r>
                <w:rPr>
                  <w:rStyle w:val="Hyperlink"/>
                </w:rPr>
                <w:t xml:space="preserve">Person—Indigenous health assessment type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219a0bcbcc78473a">
              <w:r>
                <w:rPr>
                  <w:rStyle w:val="Hyperlink"/>
                </w:rPr>
                <w:t xml:space="preserve">Indigenous health assessment type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In-person MBS-rebated Indigenous health assessment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Telehealth MBS-rebated Indigenous health assessment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No Indigenous health assessment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In-person MBS-rebated Indigenous health assessment</w:t>
            </w:r>
          </w:p>
          <w:p>
            <w:pPr>
              <w:spacing w:after="160"/>
            </w:pPr>
            <w:r>
              <w:rPr>
                <w:rStyle w:val="row-content-rich-text"/>
              </w:rPr>
              <w:t xml:space="preserve">Use this code for in-person MBS-rebated Indigenous health assessments (MBS items: 715, 228.)</w:t>
            </w:r>
          </w:p>
          <w:p>
            <w:pPr>
              <w:spacing w:after="160"/>
            </w:pPr>
            <w:r>
              <w:rPr>
                <w:rStyle w:val="row-content-rich-text"/>
              </w:rPr>
              <w:t xml:space="preserve">CODE 2     Telehealth MBS-rebated Indigenous health assessment</w:t>
            </w:r>
          </w:p>
          <w:p>
            <w:pPr>
              <w:spacing w:after="160"/>
            </w:pPr>
            <w:r>
              <w:rPr>
                <w:rStyle w:val="row-content-rich-text"/>
              </w:rPr>
              <w:t xml:space="preserve">Use this code for Telehealth MBS-rebated Indigenous health assessments (MBS items: 92004 or 92011.)</w:t>
            </w:r>
          </w:p>
          <w:p>
            <w:pPr>
              <w:spacing w:after="160"/>
            </w:pPr>
            <w:r>
              <w:rPr>
                <w:rStyle w:val="row-content-rich-text"/>
              </w:rPr>
              <w:t xml:space="preserve">CODE 8     No Indigenous health assessment</w:t>
            </w:r>
          </w:p>
          <w:p>
            <w:pPr>
              <w:spacing w:after="160"/>
            </w:pPr>
            <w:r>
              <w:rPr>
                <w:rStyle w:val="row-content-rich-text"/>
              </w:rPr>
              <w:t xml:space="preserve">Use when no Indigenous health assessment has been recorded</w:t>
            </w:r>
          </w:p>
          <w:p>
            <w:pPr>
              <w:spacing w:after="160"/>
            </w:pPr>
            <w:r>
              <w:rPr>
                <w:rStyle w:val="row-content-rich-text"/>
              </w:rPr>
              <w:t xml:space="preserve">CODE 9     Not stated/inadequately described</w:t>
            </w:r>
          </w:p>
          <w:p>
            <w:pPr/>
            <w:r>
              <w:rPr>
                <w:rStyle w:val="row-content-rich-text"/>
              </w:rPr>
              <w:t xml:space="preserve">Use when the information is not stated, or inadequately described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43774af79804dd1">
              <w:r>
                <w:rPr>
                  <w:rStyle w:val="Hyperlink"/>
                </w:rPr>
                <w:t xml:space="preserve">Person—Indigenous health assessment type, code N</w:t>
              </w:r>
            </w:hyperlink>
          </w:p>
          <w:p>
            <w:pPr>
              <w:pStyle w:val="registration-status"/>
              <w:spacing w:before="0" w:after="0"/>
            </w:pPr>
            <w:hyperlink w:history="true" r:id="R3a9555082cb44b08">
              <w:r>
                <w:rPr>
                  <w:rStyle w:val="Hyperlink"/>
                  <w:color w:val="244061"/>
                </w:rPr>
                <w:t xml:space="preserve">Indigenous</w:t>
              </w:r>
            </w:hyperlink>
            <w:r>
              <w:rPr>
                <w:rStyle w:val="row-content"/>
                <w:color w:val="244061"/>
              </w:rPr>
              <w:t xml:space="preserve">, Superseded 18/12/2023</w:t>
            </w:r>
          </w:p>
          <w:p>
            <w:r>
              <w:br/>
            </w:r>
            <w:r>
              <w:rPr>
                <w:rStyle w:val="row-content"/>
              </w:rPr>
              <w:t xml:space="preserve">Has been superseded by </w:t>
            </w:r>
            <w:hyperlink w:history="true" r:id="R36720ff7354e4d26">
              <w:r>
                <w:rPr>
                  <w:rStyle w:val="Hyperlink"/>
                </w:rPr>
                <w:t xml:space="preserve">Person—Aboriginal and Torres Strait Islander peoples health assessment type, code N</w:t>
              </w:r>
            </w:hyperlink>
          </w:p>
          <w:p>
            <w:pPr>
              <w:pStyle w:val="registration-status"/>
              <w:spacing w:before="0" w:after="0"/>
            </w:pPr>
            <w:hyperlink w:history="true" r:id="Re716a9aad1b04292">
              <w:r>
                <w:rPr>
                  <w:rStyle w:val="Hyperlink"/>
                  <w:color w:val="244061"/>
                </w:rPr>
                <w:t xml:space="preserve">Indigenous</w:t>
              </w:r>
            </w:hyperlink>
            <w:r>
              <w:rPr>
                <w:rStyle w:val="row-content"/>
                <w:color w:val="244061"/>
              </w:rPr>
              <w:t xml:space="preserve">, Standard 25/02/2024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603ea9c1be9c4855">
              <w:r>
                <w:rPr>
                  <w:rStyle w:val="Hyperlink"/>
                </w:rPr>
                <w:t xml:space="preserve">Indigenous-specific primary health care NBEDS June 2023</w:t>
              </w:r>
            </w:hyperlink>
          </w:p>
          <w:p>
            <w:pPr>
              <w:pStyle w:val="registration-status"/>
              <w:spacing w:before="0" w:after="0"/>
            </w:pPr>
            <w:hyperlink w:history="true" r:id="R945bf3ec580846e3">
              <w:r>
                <w:rPr>
                  <w:rStyle w:val="Hyperlink"/>
                  <w:color w:val="244061"/>
                </w:rPr>
                <w:t xml:space="preserve">Indigenous</w:t>
              </w:r>
            </w:hyperlink>
            <w:r>
              <w:rPr>
                <w:rStyle w:val="row-content"/>
                <w:color w:val="244061"/>
              </w:rPr>
              <w:t xml:space="preserve">, Superseded 25/02/2024</w:t>
            </w:r>
          </w:p>
          <w:p>
            <w:r>
              <w:rPr>
                <w:rStyle w:val="row-content"/>
                <w:b/>
                <w:i/>
              </w:rPr>
              <w:t xml:space="preserve">Implementation start date: </w:t>
            </w:r>
            <w:r>
              <w:rPr>
                <w:rStyle w:val="row-content"/>
              </w:rPr>
              <w:t xml:space="preserve">01/01/2023</w:t>
            </w:r>
            <w:r>
              <w:br/>
            </w:r>
            <w:r>
              <w:rPr>
                <w:rStyle w:val="row-content"/>
                <w:b/>
                <w:i/>
              </w:rPr>
              <w:t xml:space="preserve">Implementation end date: </w:t>
            </w:r>
            <w:r>
              <w:rPr>
                <w:rStyle w:val="row-content"/>
              </w:rPr>
              <w:t xml:space="preserve">30/06/2023</w:t>
            </w:r>
            <w:r>
              <w:br/>
            </w:r>
            <w:r>
              <w:rPr>
                <w:rStyle w:val="row-content"/>
                <w:b/>
                <w:i/>
              </w:rPr>
              <w:t xml:space="preserve">DSS specific information: </w:t>
            </w:r>
          </w:p>
          <w:p>
            <w:r>
              <w:rPr>
                <w:rStyle w:val="row-content"/>
              </w:rPr>
              <w:t xml:space="preserve">In the ISPHC NBEDS only aggregated data with 'CODE 1 In-person MBS-rebated Indigenous health assessment' or 'CODE 2 Telehealth MBS-rebated Indigenous health assessment' are provided to the AIHW.</w:t>
            </w:r>
          </w:p>
          <w:p>
            <w:r>
              <w:rPr>
                <w:rStyle w:val="row-content"/>
              </w:rPr>
              <w:t xml:space="preserve">In the ISPHC NBEDS, this data element is provided to the AIHW twice:</w:t>
            </w:r>
          </w:p>
          <w:p>
            <w:pPr>
              <w:pStyle w:val="ListParagraph"/>
              <w:numPr>
                <w:ilvl w:val="0"/>
                <w:numId w:val="2"/>
              </w:numPr>
            </w:pPr>
            <w:r>
              <w:rPr>
                <w:rStyle w:val="row-content"/>
              </w:rPr>
              <w:t xml:space="preserve">for persons aged 0–14 years at the census date who have received an Indigenous health assessment in the 12 months up to the census date, and</w:t>
            </w:r>
          </w:p>
          <w:p>
            <w:pPr>
              <w:pStyle w:val="ListParagraph"/>
              <w:numPr>
                <w:ilvl w:val="0"/>
                <w:numId w:val="2"/>
              </w:numPr>
            </w:pPr>
            <w:r>
              <w:rPr>
                <w:rStyle w:val="row-content"/>
              </w:rPr>
              <w:t xml:space="preserve">for persons aged ≥ 15 years at the census date who have received an Indigenous health assessment in the 24 months up to the census date.</w:t>
            </w:r>
          </w:p>
          <w:p>
            <w:r>
              <w:rPr>
                <w:rStyle w:val="row-content"/>
              </w:rPr>
              <w:t xml:space="preserve">Record only the most recent assessment.</w:t>
            </w:r>
          </w:p>
          <w:p>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rPr>
              <w:t xml:space="preserve">Used as Numerator</w:t>
            </w:r>
            <w:r>
              <w:br/>
            </w:r>
            <w:hyperlink w:history="true" r:id="Rf81f0f6267e14801">
              <w:r>
                <w:rPr>
                  <w:rStyle w:val="Hyperlink"/>
                </w:rPr>
                <w:t xml:space="preserve">Indigenous-specific primary health care: PI03a-Number of Indigenous regular clients who have a current completed Indigenous health assessment, June 2023</w:t>
              </w:r>
            </w:hyperlink>
          </w:p>
          <w:p>
            <w:pPr>
              <w:pStyle w:val="registration-status"/>
              <w:spacing w:before="0" w:after="0"/>
            </w:pPr>
            <w:hyperlink w:history="true" r:id="R57e403db8c314eef">
              <w:r>
                <w:rPr>
                  <w:rStyle w:val="Hyperlink"/>
                  <w:color w:val="244061"/>
                </w:rPr>
                <w:t xml:space="preserve">Indigenous</w:t>
              </w:r>
            </w:hyperlink>
            <w:r>
              <w:rPr>
                <w:rStyle w:val="row-content"/>
                <w:color w:val="244061"/>
              </w:rPr>
              <w:t xml:space="preserve">, Superseded 25/02/2024</w:t>
            </w:r>
          </w:p>
          <w:p>
            <w:r>
              <w:br/>
            </w:r>
            <w:hyperlink w:history="true" r:id="Rb15953c17ca64e48">
              <w:r>
                <w:rPr>
                  <w:rStyle w:val="Hyperlink"/>
                </w:rPr>
                <w:t xml:space="preserve">Indigenous-specific primary health care: PI03b-Proportion of Indigenous regular clients who have a current completed Indigenous health assessment, June 2023</w:t>
              </w:r>
            </w:hyperlink>
          </w:p>
          <w:p>
            <w:pPr>
              <w:pStyle w:val="registration-status"/>
              <w:spacing w:before="0" w:after="0"/>
            </w:pPr>
            <w:hyperlink w:history="true" r:id="Rf463ae95abdd4092">
              <w:r>
                <w:rPr>
                  <w:rStyle w:val="Hyperlink"/>
                  <w:color w:val="244061"/>
                </w:rPr>
                <w:t xml:space="preserve">Indigenous</w:t>
              </w:r>
            </w:hyperlink>
            <w:r>
              <w:rPr>
                <w:rStyle w:val="row-content"/>
                <w:color w:val="244061"/>
              </w:rPr>
              <w:t xml:space="preserve">, Superseded 25/02/2024</w:t>
            </w:r>
          </w:p>
          <w:p>
            <w:r>
              <w:br/>
            </w:r>
            <w:r>
              <w:rPr>
                <w:rStyle w:val="row-content"/>
                <w:b/>
              </w:rPr>
              <w:t xml:space="preserve">Used as Disaggregation</w:t>
            </w:r>
            <w:r>
              <w:br/>
            </w:r>
            <w:hyperlink w:history="true" r:id="R57bb4a44be4b4785">
              <w:r>
                <w:rPr>
                  <w:rStyle w:val="Hyperlink"/>
                </w:rPr>
                <w:t xml:space="preserve">Indigenous-specific primary health care: PI03a-Number of Indigenous regular clients who have a current completed Indigenous health assessment, June 2023</w:t>
              </w:r>
            </w:hyperlink>
          </w:p>
          <w:p>
            <w:pPr>
              <w:pStyle w:val="registration-status"/>
              <w:spacing w:before="0" w:after="0"/>
            </w:pPr>
            <w:hyperlink w:history="true" r:id="R2c22ec05b64a4b61">
              <w:r>
                <w:rPr>
                  <w:rStyle w:val="Hyperlink"/>
                  <w:color w:val="244061"/>
                </w:rPr>
                <w:t xml:space="preserve">Indigenous</w:t>
              </w:r>
            </w:hyperlink>
            <w:r>
              <w:rPr>
                <w:rStyle w:val="row-content"/>
                <w:color w:val="244061"/>
              </w:rPr>
              <w:t xml:space="preserve">, Superseded 25/02/2024</w:t>
            </w:r>
          </w:p>
          <w:p>
            <w:r>
              <w:br/>
            </w:r>
            <w:hyperlink w:history="true" r:id="R9f18409d92f646f0">
              <w:r>
                <w:rPr>
                  <w:rStyle w:val="Hyperlink"/>
                </w:rPr>
                <w:t xml:space="preserve">Indigenous-specific primary health care: PI03b-Proportion of Indigenous regular clients who have a current completed Indigenous health assessment, June 2023</w:t>
              </w:r>
            </w:hyperlink>
          </w:p>
          <w:p>
            <w:pPr>
              <w:pStyle w:val="registration-status"/>
              <w:spacing w:before="0" w:after="0"/>
            </w:pPr>
            <w:hyperlink w:history="true" r:id="R0a5d941f868b4b86">
              <w:r>
                <w:rPr>
                  <w:rStyle w:val="Hyperlink"/>
                  <w:color w:val="244061"/>
                </w:rPr>
                <w:t xml:space="preserve">Indigenous</w:t>
              </w:r>
            </w:hyperlink>
            <w:r>
              <w:rPr>
                <w:rStyle w:val="row-content"/>
                <w:color w:val="244061"/>
              </w:rPr>
              <w:t xml:space="preserve">, Superseded 25/02/2024</w:t>
            </w:r>
          </w:p>
          <w:p>
            <w:r>
              <w:br/>
            </w:r>
          </w:p>
        </w:tc>
      </w:tr>
    </w:tbl>
    <w:p/>
    <w:tbl>
      <w:tblPr>
        <w:tblStyle w:val="TableGrid"/>
        <w:tblW w:w="0" w:type="auto"/>
      </w:tblPr>
    </w:tbl>
    <w:p>
      <w:r>
        <w:br/>
      </w:r>
    </w:p>
    <w:sectPr>
      <w:footerReference xmlns:r="http://schemas.openxmlformats.org/officeDocument/2006/relationships" w:type="default" r:id="R3e1a030ed9b64c4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782805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89032599af64f7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e1a030ed9b64c40" /><Relationship Type="http://schemas.openxmlformats.org/officeDocument/2006/relationships/header" Target="/word/header1.xml" Id="R0b626868cb7c45c6" /><Relationship Type="http://schemas.openxmlformats.org/officeDocument/2006/relationships/settings" Target="/word/settings.xml" Id="R41ce4dc7c82942db" /><Relationship Type="http://schemas.openxmlformats.org/officeDocument/2006/relationships/styles" Target="/word/styles.xml" Id="Rf103b11489e4430e" /><Relationship Type="http://schemas.openxmlformats.org/officeDocument/2006/relationships/numbering" Target="/word/numbering.xml" Id="Rc259b6eeab8741e8" /><Relationship Type="http://schemas.openxmlformats.org/officeDocument/2006/relationships/hyperlink" Target="https://meteor.aihw.gov.au/RegistrationAuthority/6" TargetMode="External" Id="R256d4226c1644321" /><Relationship Type="http://schemas.openxmlformats.org/officeDocument/2006/relationships/hyperlink" Target="https://meteor.aihw.gov.au/content/731666" TargetMode="External" Id="Rd897ff9ab46b4543" /><Relationship Type="http://schemas.openxmlformats.org/officeDocument/2006/relationships/hyperlink" Target="https://meteor.aihw.gov.au/content/782802" TargetMode="External" Id="R219a0bcbcc78473a" /><Relationship Type="http://schemas.openxmlformats.org/officeDocument/2006/relationships/hyperlink" Target="https://meteor.aihw.gov.au/content/731682" TargetMode="External" Id="R343774af79804dd1" /><Relationship Type="http://schemas.openxmlformats.org/officeDocument/2006/relationships/hyperlink" Target="https://meteor.aihw.gov.au/RegistrationAuthority/6" TargetMode="External" Id="R3a9555082cb44b08" /><Relationship Type="http://schemas.openxmlformats.org/officeDocument/2006/relationships/hyperlink" Target="https://meteor.aihw.gov.au/content/788412" TargetMode="External" Id="R36720ff7354e4d26" /><Relationship Type="http://schemas.openxmlformats.org/officeDocument/2006/relationships/hyperlink" Target="https://meteor.aihw.gov.au/RegistrationAuthority/6" TargetMode="External" Id="Re716a9aad1b04292" /><Relationship Type="http://schemas.openxmlformats.org/officeDocument/2006/relationships/hyperlink" Target="https://meteor.aihw.gov.au/content/782621" TargetMode="External" Id="R603ea9c1be9c4855" /><Relationship Type="http://schemas.openxmlformats.org/officeDocument/2006/relationships/hyperlink" Target="https://meteor.aihw.gov.au/RegistrationAuthority/6" TargetMode="External" Id="R945bf3ec580846e3" /><Relationship Type="http://schemas.openxmlformats.org/officeDocument/2006/relationships/hyperlink" Target="https://meteor.aihw.gov.au/content/782645" TargetMode="External" Id="Rf81f0f6267e14801" /><Relationship Type="http://schemas.openxmlformats.org/officeDocument/2006/relationships/hyperlink" Target="https://meteor.aihw.gov.au/RegistrationAuthority/6" TargetMode="External" Id="R57e403db8c314eef" /><Relationship Type="http://schemas.openxmlformats.org/officeDocument/2006/relationships/hyperlink" Target="https://meteor.aihw.gov.au/content/782647" TargetMode="External" Id="Rb15953c17ca64e48" /><Relationship Type="http://schemas.openxmlformats.org/officeDocument/2006/relationships/hyperlink" Target="https://meteor.aihw.gov.au/RegistrationAuthority/6" TargetMode="External" Id="Rf463ae95abdd4092" /><Relationship Type="http://schemas.openxmlformats.org/officeDocument/2006/relationships/hyperlink" Target="https://meteor.aihw.gov.au/content/782645" TargetMode="External" Id="R57bb4a44be4b4785" /><Relationship Type="http://schemas.openxmlformats.org/officeDocument/2006/relationships/hyperlink" Target="https://meteor.aihw.gov.au/RegistrationAuthority/6" TargetMode="External" Id="R2c22ec05b64a4b61" /><Relationship Type="http://schemas.openxmlformats.org/officeDocument/2006/relationships/hyperlink" Target="https://meteor.aihw.gov.au/content/782647" TargetMode="External" Id="R9f18409d92f646f0" /><Relationship Type="http://schemas.openxmlformats.org/officeDocument/2006/relationships/hyperlink" Target="https://meteor.aihw.gov.au/RegistrationAuthority/6" TargetMode="External" Id="R0a5d941f868b4b86" /></Relationships>
</file>

<file path=word/_rels/header1.xml.rels>&#65279;<?xml version="1.0" encoding="utf-8"?><Relationships xmlns="http://schemas.openxmlformats.org/package/2006/relationships"><Relationship Type="http://schemas.openxmlformats.org/officeDocument/2006/relationships/image" Target="/media/image.png" Id="Rf89032599af64f76" /></Relationships>
</file>