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d048c641544b5f"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2022–23;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2022–23;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655976749492d">
              <w:r>
                <w:rPr>
                  <w:rStyle w:val="Hyperlink"/>
                  <w:color w:val="244061"/>
                </w:rPr>
                <w:t xml:space="preserve">AIHW Data Quality Statements</w:t>
              </w:r>
            </w:hyperlink>
            <w:r>
              <w:rPr>
                <w:rStyle w:val="row-content"/>
                <w:color w:val="244061"/>
              </w:rPr>
              <w:t xml:space="preserve">, Standard 27/11/2023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Specialist Homelessness Services Collection (SHSC) collects information on people seeking services from agencies that receive funding under the National Housing and Homelessness Agreement (NHHA).</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NHHA to provide specialist homelessness services (SHS) are in scope for the SHSC, although some agencies are exempt from supplying data.</w:t>
            </w:r>
          </w:p>
          <w:p>
            <w:pPr>
              <w:pStyle w:val="ListParagraph"/>
              <w:numPr>
                <w:ilvl w:val="0"/>
                <w:numId w:val="2"/>
              </w:numPr>
            </w:pPr>
            <w:r>
              <w:rPr>
                <w:rStyle w:val="row-content-rich-text"/>
              </w:rPr>
              <w:t xml:space="preserve">For the 2022–23 reporting period, 99.9% of SHS agencies supplied data for each month they were expected to participate in the collection. The remaining 0.1% of agencies supplied data for most of the months where data were expected.</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2022–23, 98.8% of support periods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bf17b6b888244c14">
              <w:r>
                <w:rPr>
                  <w:rStyle w:val="Hyperlink"/>
                  <w:i/>
                </w:rPr>
                <w:t xml:space="preserve">Australian Institute of Health and Welfare Act 1987</w:t>
              </w:r>
            </w:hyperlink>
            <w:r>
              <w:rPr>
                <w:rStyle w:val="row-content-rich-text"/>
              </w:rPr>
              <w:t xml:space="preserve"> (AIHW Act), governed by a </w:t>
            </w:r>
            <w:hyperlink w:history="true" r:id="Rcf4ab02a0716431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6aa1c530f1594591">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w:t>
            </w:r>
            <w:hyperlink w:history="true" r:id="R8784ec53bc294c89">
              <w:r>
                <w:rPr>
                  <w:rStyle w:val="Hyperlink"/>
                </w:rPr>
                <w:t xml:space="preserve">AIHW website</w:t>
              </w:r>
            </w:hyperlink>
            <w:r>
              <w:rPr>
                <w:rStyle w:val="row-content-rich-text"/>
              </w:rPr>
              <w:t xml:space="preserve">, which includes details about the </w:t>
            </w:r>
            <w:hyperlink w:history="true" r:id="Rc1551f48390f4e77">
              <w:r>
                <w:rPr>
                  <w:rStyle w:val="Hyperlink"/>
                </w:rPr>
                <w:t xml:space="preserve">AIHW's governance</w:t>
              </w:r>
            </w:hyperlink>
            <w:r>
              <w:rPr>
                <w:rStyle w:val="row-content-rich-text"/>
              </w:rPr>
              <w:t xml:space="preserve"> and </w:t>
            </w:r>
            <w:hyperlink w:history="true" r:id="R8ef8455d93534a27">
              <w:r>
                <w:rPr>
                  <w:rStyle w:val="Hyperlink"/>
                </w:rPr>
                <w:t xml:space="preserve">role and strategic goals.</w:t>
              </w:r>
            </w:hyperlink>
          </w:p>
          <w:p>
            <w:pPr>
              <w:spacing w:after="160"/>
            </w:pPr>
            <w:r>
              <w:rPr>
                <w:rStyle w:val="row-content-rich-text"/>
              </w:rPr>
              <w:t xml:space="preserve">The SHSC was developed by the AIHW in conjunction with the states and territories and is administered by the AIHW. SHSC system operations are funded by states and territories. For 2022–23 data holdings, all agencies that receive funding under the NHHA to provide specialist homelessness services are in scope for the SHSC, although some agencies are exempt from supplying data. Data are collected monthly from agencies participating in the collection.</w:t>
            </w:r>
          </w:p>
          <w:p>
            <w:pPr/>
            <w:r>
              <w:rPr>
                <w:rStyle w:val="row-content-rich-text"/>
              </w:rPr>
              <w:t xml:space="preserve">The sharing and release of SHSC data where South Australian data can be separately identified is subject to approval from the South Australian government, as they are the data suppliers.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2022–23 use data from 1 July 2022 to 30 June 2023 that were submitted and validated as of 10 August 2023. These data are first published in a dashboard report released quarterly on the AIHW website, and then in a more comprehensive annual SHS report with accompanying data products in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on the AIHW’s </w:t>
            </w:r>
            <w:hyperlink w:history="true" r:id="R36dbf5564cfb4b26">
              <w:r>
                <w:rPr>
                  <w:rStyle w:val="Hyperlink"/>
                  <w:i/>
                </w:rPr>
                <w:t xml:space="preserve">Housing data dashboard</w:t>
              </w:r>
            </w:hyperlink>
            <w:r>
              <w:rPr>
                <w:rStyle w:val="row-content-rich-text"/>
              </w:rPr>
              <w:t xml:space="preserve"> and in </w:t>
            </w:r>
            <w:hyperlink w:history="true" r:id="R8f52249e4fb14548">
              <w:r>
                <w:rPr>
                  <w:rStyle w:val="Hyperlink"/>
                  <w:i/>
                </w:rPr>
                <w:t xml:space="preserve">Specialist homelessness services</w:t>
              </w:r>
            </w:hyperlink>
            <w:r>
              <w:rPr>
                <w:rStyle w:val="row-content-rich-text"/>
              </w:rPr>
              <w:t xml:space="preserve"> reports as well as the Productivity Commission’s annual </w:t>
            </w:r>
            <w:hyperlink w:history="true" r:id="R5e41a35357334179">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w:t>
            </w:r>
            <w:hyperlink w:history="true" r:id="R967335b007cd476f">
              <w:r>
                <w:rPr>
                  <w:rStyle w:val="Hyperlink"/>
                </w:rPr>
                <w:t xml:space="preserve">data request system</w:t>
              </w:r>
            </w:hyperlink>
            <w:r>
              <w:rPr>
                <w:rStyle w:val="row-content-rich-text"/>
              </w:rPr>
              <w:t xml:space="preserve">. Depending on the nature of the request, access to unpublished data may also incur costs or require approval from the AIHW Ethics Committee.</w:t>
            </w:r>
          </w:p>
          <w:p>
            <w:pPr/>
            <w:r>
              <w:rPr>
                <w:rStyle w:val="row-content-rich-text"/>
              </w:rPr>
              <w:t xml:space="preserve">General enquiries about AIHW publications can be directed to </w:t>
            </w:r>
            <w:hyperlink w:history="true" r:id="Rda20738768b54851">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6d31d05ad8674e30">
              <w:r>
                <w:rPr>
                  <w:rStyle w:val="Hyperlink"/>
                  <w:i/>
                </w:rPr>
                <w:t xml:space="preserve">Specialist Homelessness Services NMDS 2019-</w:t>
              </w:r>
            </w:hyperlink>
            <w:r>
              <w:rPr>
                <w:rStyle w:val="row-content-rich-text"/>
              </w:rPr>
              <w:t xml:space="preserve">.</w:t>
            </w:r>
          </w:p>
          <w:p>
            <w:pPr/>
            <w:r>
              <w:rPr>
                <w:rStyle w:val="row-content-rich-text"/>
              </w:rPr>
              <w:t xml:space="preserve">Information on the development of the SHSC, definitions and concepts, and collection materials and processes can be found on </w:t>
            </w:r>
            <w:hyperlink w:history="true" r:id="R9db9911b1eff4617">
              <w:r>
                <w:rPr>
                  <w:rStyle w:val="Hyperlink"/>
                  <w:i/>
                </w:rPr>
                <w:t xml:space="preserve">Specialist Homelessness Services Collection (SHSC) information site</w:t>
              </w:r>
            </w:hyperlink>
            <w:r>
              <w:rPr>
                <w:rStyle w:val="row-content-rich-text"/>
              </w:rPr>
              <w:t xml:space="preserve"> on the AIHW website. Information on definitions, concepts and classifications can also be found in the </w:t>
            </w:r>
            <w:hyperlink w:history="true" r:id="R618f2009c81e428f">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p>
          <w:p>
            <w:pPr>
              <w:spacing w:after="160"/>
            </w:pPr>
            <w:r>
              <w:rPr>
                <w:rStyle w:val="row-content-rich-text"/>
              </w:rPr>
              <w:t xml:space="preserve">The SHSC contains information about people who are homeless or at risk of homelessness and seek assistance from SHS agencies. All SHS agencies that receive funding under the NHHA (previously the National Affordable Housing Agreement or the National Partnership Agreement on Homelessness) to provide specialist homelessness services are in scope for the SHSC.</w:t>
            </w:r>
          </w:p>
          <w:p>
            <w:pPr>
              <w:spacing w:after="160"/>
            </w:pPr>
            <w:r>
              <w:rPr>
                <w:rStyle w:val="row-content-rich-text"/>
              </w:rPr>
              <w:t xml:space="preserve">For the 2022–23 reporting period, 99.9% of SHS agencies supplied data for each month they were expected to participate in the collection. The remaining 0.1% of agencies supplied data for the majority of the months where data were expected.</w:t>
            </w:r>
          </w:p>
          <w:p>
            <w:pPr>
              <w:spacing w:after="160"/>
            </w:pPr>
            <w:r>
              <w:rPr>
                <w:rStyle w:val="row-content-rich-text"/>
              </w:rPr>
              <w:t xml:space="preserve">On average, 2.9% of agencies were in-scope for the collection but were exempt from supplying data each month. The main reasons for agencies being exempt are:</w:t>
            </w:r>
          </w:p>
          <w:p>
            <w:pPr>
              <w:pStyle w:val="ListParagraph"/>
              <w:numPr>
                <w:ilvl w:val="0"/>
                <w:numId w:val="3"/>
              </w:numPr>
            </w:pPr>
            <w:r>
              <w:rPr>
                <w:rStyle w:val="row-content-rich-text"/>
              </w:rPr>
              <w:t xml:space="preserve">does not see clients directly but supports other agencies</w:t>
            </w:r>
          </w:p>
          <w:p>
            <w:pPr>
              <w:pStyle w:val="ListParagraph"/>
              <w:numPr>
                <w:ilvl w:val="0"/>
                <w:numId w:val="3"/>
              </w:numPr>
            </w:pPr>
            <w:r>
              <w:rPr>
                <w:rStyle w:val="row-content-rich-text"/>
              </w:rPr>
              <w:t xml:space="preserve">level of SHS funding makes it impractical to participate</w:t>
            </w:r>
          </w:p>
          <w:p>
            <w:pPr>
              <w:pStyle w:val="ListParagraph"/>
              <w:numPr>
                <w:ilvl w:val="0"/>
                <w:numId w:val="3"/>
              </w:numPr>
            </w:pPr>
            <w:r>
              <w:rPr>
                <w:rStyle w:val="row-content-rich-text"/>
              </w:rPr>
              <w:t xml:space="preserve">support high number of clients with minimal direct support or do not assess client needs.</w:t>
            </w:r>
          </w:p>
          <w:p>
            <w:pPr>
              <w:spacing w:after="160"/>
            </w:pPr>
            <w:r>
              <w:rPr>
                <w:rStyle w:val="row-content-rich-text"/>
              </w:rPr>
              <w:t xml:space="preserve">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2022–23, 98.8% of support periods had a valid SLK. For records relating to people who were unassisted, 49.7%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expected as agency response rate is 99.9% and the SLK validity rate is very high and exemption rates are very low. However, on average, 2.9% of agencies were in-scope for the collection but were exempt from supplying data each month, which might contribute to some level of bias.</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needed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 – invalid responses are recorded, ‘don't know’ can be selected, or no response is recorded. Support periods with invalid/‘don't know’/missing responses were retained in the collection and no attempt is made to deduce or impute the true value of invalid/‘don't know’/missing responses at the unit level. Where data relate to the total client population, the total includes clients with missing information. This information is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Client location information is mapped (using reported state/territory, locality and/or postcode information) to Statistical Area 2 (SA2) of the Australian Statistical Geography Standard (ASGS), mainly using standard correspondences published by the Australian Bureau of Statistics (ABS). For 2022–23, most support periods (89%) were able to be mapped using a combination of all 3 location variables. Agency location information is mapped (using reported state/territory, locality and/or postcode information) to remoteness area using standard correspondences published by the ABS. For 2022–23, most agencies (95%) were able to be mapped using a combination of all 3 location variables.</w:t>
            </w:r>
          </w:p>
          <w:p>
            <w:pPr>
              <w:spacing w:after="160"/>
            </w:pPr>
            <w:r>
              <w:rPr>
                <w:rStyle w:val="row-content-rich-text"/>
              </w:rPr>
              <w:t xml:space="preserve">Information about the geographical location of clients for 2011–12 to 2013–14 is not published due to concerns about data quality. Caution should be used when comparing geographical information about agencies with geographical information about clients as the location where a client lives may be different to the location of the agency where they present for support, especially for clients who live in remote areas of Australia.</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spacing w:after="160"/>
            </w:pPr>
            <w:r>
              <w:rPr>
                <w:rStyle w:val="row-content-rich-text"/>
              </w:rPr>
              <w:t xml:space="preserve">The Australian Defence Force (ADF) indicator was introduced into the SHSC in July 2017. Data on clients aged 18 and older who identify as current or former members of the ADF are available in the annual SHSC products from 2017–18 onwards. Variability in the implementation of this item means that coverage is incomplete for 2017–18 and caution should be taken when comparing this first year of data with later years.</w:t>
            </w:r>
          </w:p>
          <w:p>
            <w:pPr>
              <w:spacing w:after="160"/>
            </w:pPr>
            <w:r>
              <w:rPr>
                <w:rStyle w:val="row-content-rich-text"/>
                <w:b/>
              </w:rPr>
              <w:t xml:space="preserve">NDIS indicator</w:t>
            </w:r>
          </w:p>
          <w:p>
            <w:pPr>
              <w:spacing w:after="160"/>
            </w:pPr>
            <w:r>
              <w:rPr>
                <w:rStyle w:val="row-content-rich-text"/>
              </w:rPr>
              <w:t xml:space="preserve">On 1 July 2019, a National Disability Insurance Scheme (NDIS) indicator was included for new support periods to gain an understanding of the number of clients who were receiving an agreed NDIS package of support at the time of presentation to an SHS agency.</w:t>
            </w:r>
          </w:p>
          <w:p>
            <w:pPr>
              <w:spacing w:after="160"/>
            </w:pPr>
            <w:r>
              <w:rPr>
                <w:rStyle w:val="row-content-rich-text"/>
              </w:rPr>
              <w:t xml:space="preserve">This indicator has not been well reported, with high proportions of ‘don’t knows’ for some states/territories. Therefore, caution should be used when comparing data across states and territories.</w:t>
            </w:r>
          </w:p>
          <w:p>
            <w:pPr>
              <w:spacing w:after="160"/>
            </w:pPr>
            <w:r>
              <w:rPr>
                <w:rStyle w:val="row-content-rich-text"/>
                <w:b/>
              </w:rPr>
              <w:t xml:space="preserve">Main language spoken at home and proficiency in spoken English</w:t>
            </w:r>
          </w:p>
          <w:p>
            <w:pPr>
              <w:spacing w:after="160"/>
            </w:pPr>
            <w:r>
              <w:rPr>
                <w:rStyle w:val="row-content-rich-text"/>
              </w:rPr>
              <w:t xml:space="preserve">On 1 July 2019, a question was added for new support periods to record the client’s main language spoken at home. A follow up question was also added for those who did not speak English as a main language at home. This second question collects information on how proficient the client feels they are at speaking English.</w:t>
            </w:r>
          </w:p>
          <w:p>
            <w:pPr>
              <w:spacing w:after="160"/>
            </w:pPr>
            <w:r>
              <w:rPr>
                <w:rStyle w:val="row-content-rich-text"/>
              </w:rPr>
              <w:t xml:space="preserve">Although in 2022–23 the main language spoken at home question was answered for most clients, the question about English proficiency has been less well reported, with high proportions of ‘don’t knows’ for most states and territories. Therefore, caution should be taken when using this data for 2022–23.</w:t>
            </w:r>
          </w:p>
          <w:p>
            <w:pPr>
              <w:spacing w:after="160"/>
            </w:pPr>
            <w:r>
              <w:rPr>
                <w:rStyle w:val="row-content-rich-text"/>
                <w:b/>
              </w:rPr>
              <w:t xml:space="preserve">The addition of ‘Other’ to the Sex item</w:t>
            </w:r>
          </w:p>
          <w:p>
            <w:pPr>
              <w:spacing w:after="160"/>
            </w:pPr>
            <w:r>
              <w:rPr>
                <w:rStyle w:val="row-content-rich-text"/>
              </w:rPr>
              <w:t xml:space="preserve">An ‘Other’ category was added to the sex item in both the Client and Unassisted persons components of the SHSC for episodes starting from 1 July 2019. This change has meant that there has been a break in time series for some clients as their SLK has changed to reflect their change in recorded sex. In 2022–23, 0.6% of clients identified as Sex = Other.</w:t>
            </w:r>
          </w:p>
          <w:p>
            <w:pPr/>
            <w:r>
              <w:rPr>
                <w:rStyle w:val="row-content-rich-text"/>
              </w:rPr>
              <w:t xml:space="preserve">The Sex = Other option may have also been applied by some agencies to young children where their sex was not obvious or for those who did not want to report their sex. Due to this, as well as the confidentiality concerns that accompany small numbers of clients, those clients identifying as Sex = Other have been included in the ‘Female’ category when reporting the data for 2022–23.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holds data extracted from agency databases. These data change regularly as new periods of support are added and as existing records are updated. As a result, SHSC data can change over time, and the numbers reported by the AIHW for a particular year may be updated in later data releases.</w:t>
            </w:r>
          </w:p>
          <w:p>
            <w:pPr>
              <w:spacing w:after="160"/>
            </w:pPr>
            <w:r>
              <w:rPr>
                <w:rStyle w:val="row-content-rich-text"/>
                <w:b/>
              </w:rPr>
              <w:t xml:space="preserve">Changes over time</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Geographical classifications changes over time</w:t>
            </w:r>
          </w:p>
          <w:p>
            <w:pPr>
              <w:spacing w:after="160"/>
            </w:pPr>
            <w:r>
              <w:rPr>
                <w:rStyle w:val="row-content-rich-text"/>
              </w:rPr>
              <w:t xml:space="preserve">Geographical classifications may change over time. For client geography, changes are generally applied to all years of data in published reports and data products, so trend analysis is comparable. This also means that numbers reported by the AIHW for a particular year, using a particular geographical classification, may be updated in later releases. For 2022–23, the ASGS Edition 3 has been used for first time instead of the ASGS Edition 2 (2016).</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 – DVA pension or payment:</w:t>
            </w:r>
            <w:r>
              <w:rPr>
                <w:rStyle w:val="row-content-rich-text"/>
              </w:rPr>
              <w:t xml:space="preserve"> In 2017–18, the response options for source of income were updated and the three response options relating to payments or pensions from the Department of Veterans’ Affairs (DVA) (disability pension – DVA, service pension – DVA and war widow(ers) pension – DVA) were replaced with the single response option ‘DVA pension or payment’. As the single ‘DVA pension or payment’ response can include more payment types than the 3 options previously available, data on the 3 DVA pension or payments from 2011–12 to 2016–17 are not comparable with data on the ‘DVA pension or payment’ from 2017–18 onwards.</w:t>
            </w:r>
          </w:p>
          <w:p>
            <w:pPr>
              <w:spacing w:after="160"/>
            </w:pPr>
            <w:r>
              <w:rPr>
                <w:rStyle w:val="row-content-rich-text"/>
                <w:i/>
              </w:rPr>
              <w:t xml:space="preserve">Source of income – several payments:</w:t>
            </w:r>
            <w:r>
              <w:rPr>
                <w:rStyle w:val="row-content-rich-text"/>
              </w:rPr>
              <w:t xml:space="preserve"> On 20 March 2020, Newstart allowance, Sickness allowance, Bereavement allowance, Wife pension and Widow B pension were ceased and replaced with JobSeeker or Age pension depending on circumstances. For the SHSC, JobSeeker payment has been recorded as Newstart allowance. Due to changes to these payments, there has been a break in time series for several SHS income categories including Newstart allowance, Age pension, Sickness allowance and Other government pensions and allowances (not elsewhere classified).</w:t>
            </w:r>
          </w:p>
          <w:p>
            <w:pPr>
              <w:spacing w:after="160"/>
            </w:pPr>
            <w:r>
              <w:rPr>
                <w:rStyle w:val="row-content-rich-text"/>
                <w:b/>
              </w:rPr>
              <w:t xml:space="preserve">Data-specific issues that require caution when making comparisons</w:t>
            </w:r>
          </w:p>
          <w:p>
            <w:pPr>
              <w:spacing w:after="160"/>
            </w:pPr>
            <w:r>
              <w:rPr>
                <w:rStyle w:val="row-content-rich-text"/>
                <w:i/>
              </w:rPr>
              <w:t xml:space="preserve">Disability:</w:t>
            </w:r>
            <w:r>
              <w:rPr>
                <w:rStyle w:val="row-content-rich-text"/>
              </w:rPr>
              <w:t xml:space="preserve"> 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w:t>
            </w:r>
            <w:r>
              <w:rPr>
                <w:rStyle w:val="row-content-rich-text"/>
              </w:rPr>
              <w:t xml:space="preserve"> 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w:t>
            </w:r>
            <w:r>
              <w:rPr>
                <w:rStyle w:val="row-content-rich-text"/>
              </w:rPr>
              <w:t xml:space="preserve"> 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Services and Assistance – Assertive outreach:</w:t>
            </w:r>
            <w:r>
              <w:rPr>
                <w:rStyle w:val="row-content-rich-text"/>
              </w:rPr>
              <w:t xml:space="preserve"> In 2017–18, there was a clarification made to the response used to record clients who needed, or were provided, or referred assertive outreach services. The response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i/>
              </w:rPr>
              <w:t xml:space="preserve">COVID-19:</w:t>
            </w:r>
            <w:r>
              <w:rPr>
                <w:rStyle w:val="row-content-rich-text"/>
              </w:rPr>
              <w:t xml:space="preserve"> From 26 March 2020, SHS agency workers were instructed to add ‘COVID-19’ in the free text section of the ‘Other reason for seeking assistance’ item if the client and/or the agency were affected directly or indirectly by the crisis. This change has been implemented differently across states and territories and therefore caution should be taken if making any comparisons between states and territories.</w:t>
            </w:r>
          </w:p>
          <w:p>
            <w:pPr>
              <w:spacing w:after="160"/>
            </w:pPr>
            <w:r>
              <w:rPr>
                <w:rStyle w:val="row-content-rich-text"/>
                <w:b/>
              </w:rPr>
              <w:t xml:space="preserve">Improvements to data items</w:t>
            </w:r>
          </w:p>
          <w:p>
            <w:pPr>
              <w:spacing w:after="160"/>
            </w:pPr>
            <w:r>
              <w:rPr>
                <w:rStyle w:val="row-content-rich-text"/>
                <w:i/>
              </w:rPr>
              <w:t xml:space="preserve">Mandatory data items:</w:t>
            </w:r>
            <w:r>
              <w:rPr>
                <w:rStyle w:val="row-content-rich-text"/>
              </w:rPr>
              <w:t xml:space="preserve"> Changes made in 2014–15 resulted in a substantial improvement in data quality for mandatory data items and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a minor impact on housing situation percentages and hence does not constitute a break in time-series.</w:t>
            </w:r>
          </w:p>
          <w:p>
            <w:pPr>
              <w:spacing w:after="160"/>
            </w:pPr>
            <w:r>
              <w:rPr>
                <w:rStyle w:val="row-content-rich-text"/>
              </w:rPr>
              <w:t xml:space="preserve">In 2022–23, a further improvement was introduced to the classification of clients at risk of homelessness. Clients with unknown tenure and an occupancy condition that is ‘other’, ‘unknown’ or ‘not applicable’ are now counted as ‘not stated’ rather than ‘at risk – other’. This change has resulted in a reduction in the number of clients with an ‘at risk’ homelessness status and a corresponding increase in the number of ‘not stated’ clients. The change has been applied to all years of data in the collection meaning data is not comparable to publications released prior to September 2023.</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in publications from December 2018 onwards (that include 2017–18 data) with publications released prior to December 2018.</w:t>
            </w:r>
          </w:p>
          <w:p>
            <w:pPr>
              <w:spacing w:after="160"/>
            </w:pPr>
            <w:r>
              <w:rPr>
                <w:rStyle w:val="row-content-rich-text"/>
                <w:i/>
              </w:rPr>
              <w:t xml:space="preserve">Family and domestic violence:</w:t>
            </w:r>
            <w:r>
              <w:rPr>
                <w:rStyle w:val="row-content-rich-text"/>
              </w:rPr>
              <w:t xml:space="preserve"> On 1 July 2019, the following changes were made to improve the collection of information about family and domestic violence (FDV) in the SHSC:</w:t>
            </w:r>
          </w:p>
          <w:p>
            <w:pPr>
              <w:pStyle w:val="ListParagraph"/>
              <w:numPr>
                <w:ilvl w:val="0"/>
                <w:numId w:val="4"/>
              </w:numPr>
            </w:pPr>
            <w:r>
              <w:rPr>
                <w:rStyle w:val="row-content-rich-text"/>
              </w:rPr>
              <w:t xml:space="preserve">The inclusion of an ‘FDV agency’ response in the ‘Formal sources of referral’ item to capture clients referred from non-SHS funded FDV services.</w:t>
            </w:r>
          </w:p>
          <w:p>
            <w:pPr>
              <w:pStyle w:val="ListParagraph"/>
              <w:numPr>
                <w:ilvl w:val="0"/>
                <w:numId w:val="4"/>
              </w:numPr>
            </w:pPr>
            <w:r>
              <w:rPr>
                <w:rStyle w:val="row-content-rich-text"/>
              </w:rPr>
              <w:t xml:space="preserve">A change to the ‘Services and assistance’ received item to separately identify clients who received services for ‘FDV victims’ and/or services for ‘FDV perpetrators’.</w:t>
            </w:r>
          </w:p>
          <w:p>
            <w:pPr>
              <w:pStyle w:val="ListParagraph"/>
              <w:numPr>
                <w:ilvl w:val="0"/>
                <w:numId w:val="4"/>
              </w:numPr>
            </w:pPr>
            <w:r>
              <w:rPr>
                <w:rStyle w:val="row-content-rich-text"/>
              </w:rPr>
              <w:t xml:space="preserve">The inclusion of an FDV services category to the ‘Type of service requested’ in the unassisted persons component of the SHSC.</w:t>
            </w:r>
          </w:p>
          <w:p>
            <w:pPr>
              <w:spacing w:after="160"/>
            </w:pPr>
            <w:r>
              <w:rPr>
                <w:rStyle w:val="row-content-rich-text"/>
              </w:rPr>
              <w:t xml:space="preserve">The victim and perpetrator services can be combined to reflect the general FDV services item used prior to 1 July 2019.</w:t>
            </w:r>
          </w:p>
          <w:p>
            <w:pPr>
              <w:spacing w:after="160"/>
            </w:pPr>
            <w:r>
              <w:rPr>
                <w:rStyle w:val="row-content-rich-text"/>
              </w:rPr>
              <w:t xml:space="preserve">The split between victim and perpetrator services has been reported in 2022–23 for the first time. Data for these services are limited to clients 10 years for older. Data for previous years are not widely reported due to the change being implemented differently between agencies causing data quality issues, as well as the small numbers of perpetrator services provided causing confidentiality issues.</w:t>
            </w:r>
          </w:p>
          <w:p>
            <w:pPr>
              <w:spacing w:after="160"/>
            </w:pPr>
            <w:r>
              <w:rPr>
                <w:rStyle w:val="row-content-rich-text"/>
                <w:b/>
              </w:rPr>
              <w:t xml:space="preserve">Imputation and weighting</w:t>
            </w:r>
          </w:p>
          <w:p>
            <w:pPr>
              <w:spacing w:after="160"/>
            </w:pPr>
            <w:r>
              <w:rPr>
                <w:rStyle w:val="row-content-rich-text"/>
              </w:rPr>
              <w:t xml:space="preserve">Prior to 2017–18, data were imputed to account for agency non-response and invalid SLKs. Due to improvements in agency response and SLK validity rates, data for 2017–18 onwards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longitudinal data, or data linked with data from other collections, do not use weighted data.</w:t>
            </w:r>
          </w:p>
          <w:p>
            <w:pPr>
              <w:spacing w:after="160"/>
            </w:pPr>
            <w:r>
              <w:rPr>
                <w:rStyle w:val="row-content-rich-text"/>
              </w:rPr>
              <w:t xml:space="preserve">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Homelessness and service provision</w:t>
            </w:r>
          </w:p>
          <w:p>
            <w:pPr>
              <w:spacing w:after="160"/>
            </w:pPr>
            <w:r>
              <w:rPr>
                <w:rStyle w:val="row-content-rich-text"/>
              </w:rPr>
              <w:t xml:space="preserve">There is no single definition of homelessness. The SHSC considers that a person is homeless if they are living in non-conventional accommodation (such as living on the street), or short-term or emergency accommodation (such as living temporarily with friends or relatives). Other data collections describing the nature and scale of homelessness, such as the ABS Census, use alternative definitions. The alignment and differences between the SHSC and the ABS Census definitions of homelessness can be found in </w:t>
            </w:r>
            <w:hyperlink w:history="true" r:id="R970c8b2d95924afd">
              <w:r>
                <w:rPr>
                  <w:rStyle w:val="Hyperlink"/>
                  <w:i/>
                </w:rPr>
                <w:t xml:space="preserve">Technical Paper: Alignment of the Specialist Homelessness Services Collection (SHSC) and the ABS Census definitions of homelessness</w:t>
              </w:r>
            </w:hyperlink>
            <w:r>
              <w:rPr>
                <w:rStyle w:val="row-content-rich-text"/>
              </w:rPr>
              <w:t xml:space="preserve">. Counts of homelessness in the SHSC are only for those people who access services.</w:t>
            </w:r>
          </w:p>
          <w:p>
            <w:pPr>
              <w:spacing w:after="160"/>
            </w:pPr>
            <w:r>
              <w:rPr>
                <w:rStyle w:val="row-content-rich-text"/>
                <w:b/>
              </w:rPr>
              <w:t xml:space="preserve">COVID-19</w:t>
            </w:r>
          </w:p>
          <w:p>
            <w:pPr>
              <w:spacing w:after="160"/>
            </w:pPr>
            <w:r>
              <w:rPr>
                <w:rStyle w:val="row-content-rich-text"/>
              </w:rPr>
              <w:t xml:space="preserve">States and territories introduced funding and policy initiatives to support people experiencing, or at risk of, homelessness in response to the COVID-19 pandemic from 2019–20 onwards. There are differences across state and territories in the timing and types of initiatives implemented. These initiatives were implemented within or outside the scope of the SHSC, both of which could impact on SHS use. The different initiatives and timing should be kept in mind when interpreting comparisons between states and territories.</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5"/>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for New South Wales and with data for other states and territories.</w:t>
            </w:r>
          </w:p>
          <w:p>
            <w:pPr>
              <w:pStyle w:val="ListParagraph"/>
              <w:numPr>
                <w:ilvl w:val="0"/>
                <w:numId w:val="5"/>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pStyle w:val="ListParagraph"/>
              <w:numPr>
                <w:ilvl w:val="0"/>
                <w:numId w:val="5"/>
              </w:numPr>
            </w:pPr>
            <w:r>
              <w:rPr>
                <w:rStyle w:val="row-content-rich-text"/>
              </w:rPr>
              <w:t xml:space="preserve">The Temporary Accommodation program supplements specialist homelessness services in New South Wales. It provides time-limited emergency accommodation in low-cost hotels, motels, caravan parks and similar accommodation for people experiencing homelessness. Services provided through the Temporary Accommodation program are distinct from specialist homelessness services and are not captured in the SHSC.</w:t>
            </w:r>
          </w:p>
          <w:p>
            <w:pPr>
              <w:spacing w:after="160"/>
            </w:pPr>
            <w:r>
              <w:rPr>
                <w:rStyle w:val="row-content-rich-text"/>
                <w:i/>
              </w:rPr>
              <w:t xml:space="preserve">Victoria</w:t>
            </w:r>
          </w:p>
          <w:p>
            <w:pPr>
              <w:pStyle w:val="ListParagraph"/>
              <w:numPr>
                <w:ilvl w:val="0"/>
                <w:numId w:val="6"/>
              </w:numPr>
            </w:pPr>
            <w:r>
              <w:rPr>
                <w:rStyle w:val="row-content-rich-text"/>
              </w:rPr>
              <w:t xml:space="preserve">Client numbers in Victoria are relatively high and appropriate caution should be applied when making comparisons with other states and territories. The main reason for the high client count is that the Victorian system is very demand-driven, with most presenting individuals provided initial assessment and planning at homelessness entry point (or central intake) services. In addition, there is a high number of women and children who are referred by police to homelessness-funded family violence services.</w:t>
            </w:r>
          </w:p>
          <w:p>
            <w:pPr>
              <w:pStyle w:val="ListParagraph"/>
              <w:numPr>
                <w:ilvl w:val="0"/>
                <w:numId w:val="6"/>
              </w:numPr>
            </w:pPr>
            <w:r>
              <w:rPr>
                <w:rStyle w:val="row-content-rich-text"/>
              </w:rPr>
              <w:t xml:space="preserve">From 2017–18 to 2022–23, there was a 16% decrease in the total number of Victorian homelessness clients and a 28% decrease in family violence clients following years of steady increases in these numbers. The decrease was initially due to a practice correction as to when a client was recorded, and it has continued due to a phased process to shift family violence intake to non-SHS services. Caution should be used when comparing client numbers in Victoria over recent years.</w:t>
            </w:r>
          </w:p>
          <w:p>
            <w:pPr>
              <w:spacing w:after="160"/>
            </w:pPr>
            <w:r>
              <w:rPr>
                <w:rStyle w:val="row-content-rich-text"/>
                <w:i/>
              </w:rPr>
              <w:t xml:space="preserve">South Australia</w:t>
            </w:r>
          </w:p>
          <w:p>
            <w:pPr>
              <w:pStyle w:val="ListParagraph"/>
              <w:numPr>
                <w:ilvl w:val="0"/>
                <w:numId w:val="7"/>
              </w:numPr>
            </w:pPr>
            <w:r>
              <w:rPr>
                <w:rStyle w:val="row-content-rich-text"/>
              </w:rPr>
              <w:t xml:space="preserve">South Australia has a comparatively high number of children reported as presenting alone. This may be due to differences in how presenting units are recorded in South Australia’s client management system. Caution should be used when comparing data for children presenting alone in South Australia with other states and territories.</w:t>
            </w:r>
          </w:p>
          <w:p>
            <w:pPr>
              <w:pStyle w:val="ListParagraph"/>
              <w:numPr>
                <w:ilvl w:val="0"/>
                <w:numId w:val="7"/>
              </w:numPr>
            </w:pPr>
            <w:r>
              <w:rPr>
                <w:rStyle w:val="row-content-rich-text"/>
              </w:rPr>
              <w:t xml:space="preserve">Some aspects of case management are recorded differently in South Australia’s client management system. Caution should be used when comparing data on case management for South Australia with other states and territories.</w:t>
            </w:r>
          </w:p>
          <w:p>
            <w:pPr>
              <w:pStyle w:val="ListParagraph"/>
              <w:numPr>
                <w:ilvl w:val="0"/>
                <w:numId w:val="7"/>
              </w:numPr>
            </w:pPr>
            <w:r>
              <w:rPr>
                <w:rStyle w:val="row-content-rich-text"/>
              </w:rPr>
              <w:t xml:space="preserve">South Australia’s recorded level of unmet need (i.e., service not provided or referred) for services other than accommodation are likely understated due to a different data collection method. Caution should be used when comparing unmet need data for South Australia with other states and territories.</w:t>
            </w:r>
          </w:p>
          <w:p>
            <w:pPr>
              <w:pStyle w:val="ListParagraph"/>
              <w:numPr>
                <w:ilvl w:val="0"/>
                <w:numId w:val="7"/>
              </w:numPr>
            </w:pPr>
            <w:r>
              <w:rPr>
                <w:rStyle w:val="row-content-rich-text"/>
              </w:rPr>
              <w:t xml:space="preserve">In South Australia, the SA Housing Authority operates an Emergency Accommodation Program (EAP) that provides emergency and medium-term accommodation for vulnerable people experiencing housing crisis and risk. This program operates outside the SHS sector, and SHS agencies in SA will refer clients to the EAP to meet their accommodation need, while maintaining active involvement in their client’s case management plan. This may result in a higher proportion of SHS clients in SA with an identified need for accommodation provision being ‘referred only’ and a lower proportion being ‘provided’ accommodation than nationally.</w:t>
            </w:r>
          </w:p>
          <w:p>
            <w:pPr>
              <w:pStyle w:val="ListParagraph"/>
              <w:numPr>
                <w:ilvl w:val="0"/>
                <w:numId w:val="7"/>
              </w:numPr>
            </w:pPr>
            <w:r>
              <w:rPr>
                <w:rStyle w:val="row-content-rich-text"/>
              </w:rPr>
              <w:t xml:space="preserve">In July 2021, South Australia implemented a reform of the SHS sector and established five Alliances, to service the complex and evolving needs of clients experiencing or at risk of homelessness across South Australia. The data migration processes to align SHS agencies and client data records to the Alliance model involved closing support periods of clients being supported by participating agencies and starting a new support period under the Alliance SHS agency. This has impacted on reporting, in particular, an underreporting of clients assisted by SHS agencies and their service provision across cohorts in July to September 2021, the forced cessation of clients' ongoing support from 30 June 2021 and an overreporting of the total number of support periods as clients were re-entered into the system. Caution should be used when comparing 2021–22 results with other years.</w:t>
            </w:r>
          </w:p>
          <w:p>
            <w:pPr>
              <w:spacing w:after="160"/>
            </w:pPr>
            <w:r>
              <w:rPr>
                <w:rStyle w:val="row-content-rich-text"/>
                <w:i/>
              </w:rPr>
              <w:t xml:space="preserve">Tasmania</w:t>
            </w:r>
          </w:p>
          <w:p>
            <w:pPr>
              <w:pStyle w:val="ListParagraph"/>
              <w:numPr>
                <w:ilvl w:val="0"/>
                <w:numId w:val="8"/>
              </w:numPr>
            </w:pPr>
            <w:r>
              <w:rPr>
                <w:rStyle w:val="row-content-rich-text"/>
              </w:rPr>
              <w:t xml:space="preserve">In 2014–15, Housing Tasmania began the implementation of the Housing Connect model to improve access to housing and homelessness support services within Tasmania. This new central intake system had a minor flow on effect on some data items; therefore, comparisons over time should be made with caution.</w:t>
            </w:r>
          </w:p>
          <w:p>
            <w:pPr>
              <w:spacing w:after="160"/>
            </w:pPr>
            <w:r>
              <w:rPr>
                <w:rStyle w:val="row-content-rich-text"/>
                <w:i/>
              </w:rPr>
              <w:t xml:space="preserve">Australian Capital Territory</w:t>
            </w:r>
          </w:p>
          <w:p>
            <w:pPr>
              <w:pStyle w:val="ListParagraph"/>
              <w:numPr>
                <w:ilvl w:val="0"/>
                <w:numId w:val="9"/>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9"/>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5ce8970d53c45f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37f11a44fc4e8f">
              <w:r>
                <w:rPr>
                  <w:rStyle w:val="Hyperlink"/>
                </w:rPr>
                <w:t xml:space="preserve">Specialist Homelessness Services Collection, 2021–22; Quality Statement</w:t>
              </w:r>
            </w:hyperlink>
          </w:p>
          <w:p>
            <w:pPr>
              <w:spacing w:before="0" w:after="0"/>
            </w:pPr>
            <w:r>
              <w:rPr>
                <w:rStyle w:val="row-content"/>
                <w:color w:val="244061"/>
              </w:rPr>
              <w:t xml:space="preserve">       </w:t>
            </w:r>
            <w:hyperlink w:history="true" r:id="Rfa2d174ca1b043e5">
              <w:r>
                <w:rPr>
                  <w:rStyle w:val="Hyperlink"/>
                  <w:color w:val="244061"/>
                </w:rPr>
                <w:t xml:space="preserve">AIHW Data Quality Statements</w:t>
              </w:r>
            </w:hyperlink>
            <w:r>
              <w:rPr>
                <w:rStyle w:val="row-content"/>
                <w:color w:val="244061"/>
              </w:rPr>
              <w:t xml:space="preserve">, Superseded 27/11/2023</w:t>
            </w:r>
          </w:p>
          <w:p>
            <w:r>
              <w:br/>
            </w:r>
            <w:r>
              <w:rPr>
                <w:rStyle w:val="row-content"/>
              </w:rPr>
              <w:t xml:space="preserve">See also </w:t>
            </w:r>
            <w:hyperlink w:history="true" r:id="R71ed4dd627bb493c">
              <w:r>
                <w:rPr>
                  <w:rStyle w:val="Hyperlink"/>
                </w:rPr>
                <w:t xml:space="preserve">Specialist Homelessness Services NMDS 2019-</w:t>
              </w:r>
            </w:hyperlink>
          </w:p>
          <w:p>
            <w:pPr>
              <w:spacing w:before="0" w:after="0"/>
            </w:pPr>
            <w:r>
              <w:rPr>
                <w:rStyle w:val="row-content"/>
                <w:color w:val="244061"/>
              </w:rPr>
              <w:t xml:space="preserve">       </w:t>
            </w:r>
            <w:hyperlink w:history="true" r:id="R6d98ff4c98d749c1">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747859ae5be04f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782270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2bb6cb97b5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859ae5be04fcb" /><Relationship Type="http://schemas.openxmlformats.org/officeDocument/2006/relationships/header" Target="/word/header1.xml" Id="Rc67808705ada42b0" /><Relationship Type="http://schemas.openxmlformats.org/officeDocument/2006/relationships/settings" Target="/word/settings.xml" Id="Re55b37a670cb423a" /><Relationship Type="http://schemas.openxmlformats.org/officeDocument/2006/relationships/styles" Target="/word/styles.xml" Id="R3a2be589a50742e3" /><Relationship Type="http://schemas.openxmlformats.org/officeDocument/2006/relationships/hyperlink" Target="https://meteor.aihw.gov.au/RegistrationAuthority/5" TargetMode="External" Id="R9a1655976749492d" /><Relationship Type="http://schemas.openxmlformats.org/officeDocument/2006/relationships/numbering" Target="/word/numbering.xml" Id="Rffe14cad2c8f45c0" /><Relationship Type="http://schemas.openxmlformats.org/officeDocument/2006/relationships/hyperlink" Target="https://www.legislation.gov.au/Series/C2004A03450" TargetMode="External" Id="Rbf17b6b888244c14" /><Relationship Type="http://schemas.openxmlformats.org/officeDocument/2006/relationships/hyperlink" Target="https://www.aihw.gov.au/about-us/our-governance" TargetMode="External" Id="Rcf4ab02a07164310" /><Relationship Type="http://schemas.openxmlformats.org/officeDocument/2006/relationships/hyperlink" Target="https://www.legislation.gov.au/Series/C2004A03712" TargetMode="External" Id="R6aa1c530f1594591" /><Relationship Type="http://schemas.openxmlformats.org/officeDocument/2006/relationships/hyperlink" Target="https://www.aihw.gov.au/about-us" TargetMode="External" Id="R8784ec53bc294c89" /><Relationship Type="http://schemas.openxmlformats.org/officeDocument/2006/relationships/hyperlink" Target="https://www.aihw.gov.au/about-us/our-governance" TargetMode="External" Id="Rc1551f48390f4e77" /><Relationship Type="http://schemas.openxmlformats.org/officeDocument/2006/relationships/hyperlink" Target="https://www.aihw.gov.au/about-us/what-we-do" TargetMode="External" Id="R8ef8455d93534a27" /><Relationship Type="http://schemas.openxmlformats.org/officeDocument/2006/relationships/hyperlink" Target="https://www.housingdata.gov.au/" TargetMode="External" Id="R36dbf5564cfb4b26" /><Relationship Type="http://schemas.openxmlformats.org/officeDocument/2006/relationships/hyperlink" Target="https://www.aihw.gov.au/reports-data/health-welfare-services/homelessness-services/reports" TargetMode="External" Id="R8f52249e4fb14548" /><Relationship Type="http://schemas.openxmlformats.org/officeDocument/2006/relationships/hyperlink" Target="http://www.pc.gov.au/research/ongoing/report-on-government-services" TargetMode="External" Id="R5e41a35357334179" /><Relationship Type="http://schemas.openxmlformats.org/officeDocument/2006/relationships/hyperlink" Target="https://www.aihw.gov.au/our-services/data-on-request" TargetMode="External" Id="R967335b007cd476f" /><Relationship Type="http://schemas.openxmlformats.org/officeDocument/2006/relationships/hyperlink" Target="mailto:info@aihw.gov.au" TargetMode="External" Id="Rda20738768b54851" /><Relationship Type="http://schemas.openxmlformats.org/officeDocument/2006/relationships/hyperlink" Target="https://meteor.aihw.gov.au/content/689064" TargetMode="External" Id="R6d31d05ad8674e30" /><Relationship Type="http://schemas.openxmlformats.org/officeDocument/2006/relationships/hyperlink" Target="https://www.aihw.gov.au/about-our-data/our-data-collections/specialist-homelessness-services-collection" TargetMode="External" Id="R9db9911b1eff4617" /><Relationship Type="http://schemas.openxmlformats.org/officeDocument/2006/relationships/hyperlink" Target="https://www.aihw.gov.au/about-our-data/our-data-collections/specialist-homelessness-services-collection/training-resources" TargetMode="External" Id="R618f2009c81e428f" /><Relationship Type="http://schemas.openxmlformats.org/officeDocument/2006/relationships/hyperlink" Target="https://www.aihw.gov.au/reports/homelessness-services/technical-paper-alignment-of-the-shsc/summary" TargetMode="External" Id="R970c8b2d95924afd" /><Relationship Type="http://schemas.openxmlformats.org/officeDocument/2006/relationships/hyperlink" Target="https://meteor.aihw.gov.au/content/246013" TargetMode="External" Id="R05ce8970d53c45f8" /><Relationship Type="http://schemas.openxmlformats.org/officeDocument/2006/relationships/hyperlink" Target="https://meteor.aihw.gov.au/content/765375" TargetMode="External" Id="R8b37f11a44fc4e8f" /><Relationship Type="http://schemas.openxmlformats.org/officeDocument/2006/relationships/hyperlink" Target="https://meteor.aihw.gov.au/RegistrationAuthority/5" TargetMode="External" Id="Rfa2d174ca1b043e5" /><Relationship Type="http://schemas.openxmlformats.org/officeDocument/2006/relationships/hyperlink" Target="https://meteor.aihw.gov.au/content/689064" TargetMode="External" Id="R71ed4dd627bb493c" /><Relationship Type="http://schemas.openxmlformats.org/officeDocument/2006/relationships/hyperlink" Target="https://meteor.aihw.gov.au/RegistrationAuthority/14" TargetMode="External" Id="R6d98ff4c98d749c1" /></Relationships>
</file>

<file path=word/_rels/header1.xml.rels>&#65279;<?xml version="1.0" encoding="utf-8"?><Relationships xmlns="http://schemas.openxmlformats.org/package/2006/relationships"><Relationship Type="http://schemas.openxmlformats.org/officeDocument/2006/relationships/image" Target="/media/image.png" Id="R122bb6cb97b54476" /></Relationships>
</file>