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8da9af3e4e49c5" /></Relationships>
</file>

<file path=word/document.xml><?xml version="1.0" encoding="utf-8"?>
<w:document xmlns:r="http://schemas.openxmlformats.org/officeDocument/2006/relationships" xmlns:w="http://schemas.openxmlformats.org/wordprocessingml/2006/main">
  <w:body>
    <w:p>
      <w:pPr>
        <w:pStyle w:val="Title"/>
      </w:pPr>
      <w:r>
        <w:t>Tier 2 Non-Admitted Services classification (version 9.0)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Tier 2 Non-Admitted Services classification (version 9.0)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Tier 2 v9.0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781584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dac78ca14547dc">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non-admitted patient service events based on the type and specialty of the health-care professional providing the service and the nature of the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outpatient clinics was developed in 1997–98 as an outcome of the Developmental Ambulatory Classification Study conducted by the National Hospital Cost Data Collection (NHCDC).</w:t>
            </w:r>
          </w:p>
          <w:p>
            <w:pPr>
              <w:spacing w:after="160"/>
            </w:pPr>
            <w:r>
              <w:rPr>
                <w:rStyle w:val="row-content-rich-text"/>
              </w:rPr>
              <w:t xml:space="preserve">During 2011, the list was updated to accommodate the increase in services that were previously provided to inpatients being undertaken as outpatient services. This also included a full review of the classification in response to the National Health Reform Agreement 2011 (COAG 2011), which provided for the introduction of a national activity based funding (ABF) system. The aim was to develop a classification system for use with non-admitted services for ABF purposes.</w:t>
            </w:r>
          </w:p>
          <w:p>
            <w:pPr>
              <w:spacing w:after="160"/>
            </w:pPr>
            <w:r>
              <w:rPr>
                <w:rStyle w:val="row-content-rich-text"/>
              </w:rPr>
              <w:t xml:space="preserve">The classification has been reviewed regularly from 2012–22 to ensure the classification's relevance and ability to meet the needs of the users.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Tier 2 classes provide a consistent framework for counting non-admitted service events. They are based on an assessment of both the type and specialty of the health-care professional providing the service and the nature of the service provided. This has resulted in a number of classes that is sufficient to ensure clinical meaningfulness and exclusivity across the spectrum of non-admitted services.</w:t>
            </w:r>
            <w:r>
              <w:br/>
            </w:r>
            <w:r>
              <w:br/>
            </w:r>
            <w:r>
              <w:rPr>
                <w:rStyle w:val="row-content-rich-text"/>
              </w:rPr>
              <w:t xml:space="preserve">The classes are also grouped into a number of categories that reflects the type of service provided and the health-care professionals that typically provide the service. The classes are grouped into four categories, as follows:</w:t>
            </w:r>
          </w:p>
          <w:p>
            <w:pPr>
              <w:pStyle w:val="ListParagraph"/>
              <w:numPr>
                <w:ilvl w:val="0"/>
                <w:numId w:val="2"/>
              </w:numPr>
            </w:pPr>
            <w:r>
              <w:rPr>
                <w:rStyle w:val="row-content-rich-text"/>
              </w:rPr>
              <w:t xml:space="preserve">procedures</w:t>
            </w:r>
          </w:p>
          <w:p>
            <w:pPr>
              <w:pStyle w:val="ListParagraph"/>
              <w:numPr>
                <w:ilvl w:val="0"/>
                <w:numId w:val="2"/>
              </w:numPr>
            </w:pPr>
            <w:r>
              <w:rPr>
                <w:rStyle w:val="row-content-rich-text"/>
              </w:rPr>
              <w:t xml:space="preserve">medical consultation</w:t>
            </w:r>
          </w:p>
          <w:p>
            <w:pPr>
              <w:pStyle w:val="ListParagraph"/>
              <w:numPr>
                <w:ilvl w:val="0"/>
                <w:numId w:val="2"/>
              </w:numPr>
            </w:pPr>
            <w:r>
              <w:rPr>
                <w:rStyle w:val="row-content-rich-text"/>
              </w:rPr>
              <w:t xml:space="preserve">stand-alone diagnostic</w:t>
            </w:r>
          </w:p>
          <w:p>
            <w:pPr>
              <w:pStyle w:val="ListParagraph"/>
              <w:numPr>
                <w:ilvl w:val="0"/>
                <w:numId w:val="2"/>
              </w:numPr>
            </w:pPr>
            <w:r>
              <w:rPr>
                <w:rStyle w:val="row-content-rich-text"/>
              </w:rPr>
              <w:t xml:space="preserve">allied health/clinical nurse specialist intervention.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(Council of Australian Governments) 2011. National Health Reform Agreement. Canberra: COAG, viewed 26 September 2022, </w:t>
            </w:r>
            <w:hyperlink w:history="true" r:id="R866d7c4e324d47a5">
              <w:r>
                <w:rPr>
                  <w:rStyle w:val="Hyperlink"/>
                </w:rPr>
                <w:t xml:space="preserve">https://federalfinancialrelations.gov.au/agreements/national-health-reform-agreement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a0e5f1fadc4bd3">
              <w:r>
                <w:rPr>
                  <w:rStyle w:val="Hyperlink"/>
                </w:rPr>
                <w:t xml:space="preserve">Tier 2 Non-Admitted Services classification (version 8.0)</w:t>
              </w:r>
            </w:hyperlink>
          </w:p>
          <w:p>
            <w:pPr>
              <w:spacing w:before="0" w:after="0"/>
            </w:pPr>
            <w:r>
              <w:rPr>
                <w:rStyle w:val="row-content"/>
                <w:color w:val="244061"/>
              </w:rPr>
              <w:t xml:space="preserve">       </w:t>
            </w:r>
            <w:hyperlink w:history="true" r:id="R09a9b28b908c4900">
              <w:r>
                <w:rPr>
                  <w:rStyle w:val="Hyperlink"/>
                  <w:color w:val="244061"/>
                </w:rPr>
                <w:t xml:space="preserve">Health</w:t>
              </w:r>
            </w:hyperlink>
            <w:r>
              <w:rPr>
                <w:rStyle w:val="row-content"/>
                <w:color w:val="244061"/>
              </w:rPr>
              <w:t xml:space="preserve">, Superseded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ecf031588b334ac3">
              <w:r>
                <w:rPr>
                  <w:rStyle w:val="Hyperlink"/>
                </w:rPr>
                <w:t xml:space="preserve">Non-admitted service type code (Tier 2 v9.0) NN.NN</w:t>
              </w:r>
            </w:hyperlink>
          </w:p>
          <w:p>
            <w:pPr>
              <w:spacing w:before="0" w:after="0"/>
            </w:pPr>
            <w:r>
              <w:rPr>
                <w:rStyle w:val="row-content"/>
                <w:color w:val="244061"/>
              </w:rPr>
              <w:t xml:space="preserve">       </w:t>
            </w:r>
            <w:hyperlink w:history="true" r:id="Rb51a40e40dc54bfe">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2055190055af4e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781584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f764f022764b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55190055af4ecb" /><Relationship Type="http://schemas.openxmlformats.org/officeDocument/2006/relationships/header" Target="/word/header1.xml" Id="Ra48a4069734745fc" /><Relationship Type="http://schemas.openxmlformats.org/officeDocument/2006/relationships/settings" Target="/word/settings.xml" Id="R98213fa049fa45f7" /><Relationship Type="http://schemas.openxmlformats.org/officeDocument/2006/relationships/styles" Target="/word/styles.xml" Id="Rad2ffdbbfe214c21" /><Relationship Type="http://schemas.openxmlformats.org/officeDocument/2006/relationships/hyperlink" Target="https://meteor.aihw.gov.au/RegistrationAuthority/12" TargetMode="External" Id="Re8dac78ca14547dc" /><Relationship Type="http://schemas.openxmlformats.org/officeDocument/2006/relationships/numbering" Target="/word/numbering.xml" Id="R61dd279855cd42c9" /><Relationship Type="http://schemas.openxmlformats.org/officeDocument/2006/relationships/hyperlink" Target="https://federalfinancialrelations.gov.au/agreements/national-health-reform-agreement" TargetMode="External" Id="R866d7c4e324d47a5" /><Relationship Type="http://schemas.openxmlformats.org/officeDocument/2006/relationships/hyperlink" Target="https://meteor.aihw.gov.au/content/764434" TargetMode="External" Id="Rb4a0e5f1fadc4bd3" /><Relationship Type="http://schemas.openxmlformats.org/officeDocument/2006/relationships/hyperlink" Target="https://meteor.aihw.gov.au/RegistrationAuthority/12" TargetMode="External" Id="R09a9b28b908c4900" /><Relationship Type="http://schemas.openxmlformats.org/officeDocument/2006/relationships/hyperlink" Target="https://meteor.aihw.gov.au/content/781586" TargetMode="External" Id="Recf031588b334ac3" /><Relationship Type="http://schemas.openxmlformats.org/officeDocument/2006/relationships/hyperlink" Target="https://meteor.aihw.gov.au/RegistrationAuthority/12" TargetMode="External" Id="Rb51a40e40dc54bfe" /></Relationships>
</file>

<file path=word/_rels/header1.xml.rels>&#65279;<?xml version="1.0" encoding="utf-8"?><Relationships xmlns="http://schemas.openxmlformats.org/package/2006/relationships"><Relationship Type="http://schemas.openxmlformats.org/officeDocument/2006/relationships/image" Target="/media/image.png" Id="Rccf764f022764bf3" /></Relationships>
</file>