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40a7a373d4896"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efc4ccfba4a04">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w:t>
            </w:r>
            <w:r>
              <w:rPr>
                <w:rStyle w:val="row-content-rich-text"/>
              </w:rPr>
              <w:t xml:space="preserve">First Nations</w:t>
            </w:r>
            <w:r>
              <w:rPr>
                <w:rStyle w:val="row-content-rich-text"/>
              </w:rPr>
              <w:t xml:space="preserve"> children and young people in the Northern Territory aged 21 and under are eligible for ENT teleotology services. Although all </w:t>
            </w:r>
            <w:r>
              <w:rPr>
                <w:rStyle w:val="row-content-rich-text"/>
              </w:rPr>
              <w:t xml:space="preserve">First Nations</w:t>
            </w:r>
            <w:r>
              <w:rPr>
                <w:rStyle w:val="row-content-rich-text"/>
              </w:rPr>
              <w:t xml:space="preserve">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around 4,300 children and young people who were aged under 21 and received Ear, Nose and Throat (ENT) teleotology services between July 2012 and December 2022. Children and young people who receive ENT teleotology services are not a random sample of First Nations children and young people in the Northern Territory. Although these services are available to all First Nations people aged 0</w:t>
            </w:r>
            <w:r>
              <w:rPr>
                <w:rStyle w:val="row-content-rich-text"/>
              </w:rPr>
              <w:t xml:space="preserve">–</w:t>
            </w:r>
            <w:r>
              <w:rPr>
                <w:rStyle w:val="row-content-rich-text"/>
              </w:rPr>
              <w:t xml:space="preserve">20 in the Northern Territory, not all eligible people access these services. Additionally, these services are more commonly accessed by those in remote areas. Therefore, the results of analyses may not be able to be generalised to all First Nations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163c88c98b94d01">
              <w:r>
                <w:rPr>
                  <w:rStyle w:val="Hyperlink"/>
                  <w:i/>
                </w:rPr>
                <w:t xml:space="preserve">Australian Institute of Health and Welfare Act</w:t>
              </w:r>
              <w:r>
                <w:rPr>
                  <w:rStyle w:val="row-content-rich-text"/>
                </w:rPr>
                <w:t xml:space="preserve"> 1987</w:t>
              </w:r>
            </w:hyperlink>
            <w:r>
              <w:rPr>
                <w:rStyle w:val="row-content-rich-text"/>
              </w:rPr>
              <w:t xml:space="preserve"> (AIHW Act)</w:t>
            </w:r>
            <w:r>
              <w:rPr>
                <w:rStyle w:val="row-content-rich-text"/>
              </w:rPr>
              <w:t xml:space="preserve">, governed by a </w:t>
            </w:r>
            <w:hyperlink w:tooltip="Board" w:history="true" r:id="R10e3031f43bb4d6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00c54babe9ea4f1f">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8b2a5abc2494340">
              <w:r>
                <w:rPr>
                  <w:rStyle w:val="Hyperlink"/>
                </w:rPr>
                <w:t xml:space="preserve">www.aihw.gov.au/about-us</w:t>
              </w:r>
            </w:hyperlink>
            <w:r>
              <w:rPr>
                <w:rStyle w:val="row-content-rich-text"/>
              </w:rPr>
              <w:t xml:space="preserve">, which includes details about the AIHW’s governance (</w:t>
            </w:r>
            <w:hyperlink w:history="true" r:id="R7318e940b08a4786">
              <w:r>
                <w:rPr>
                  <w:rStyle w:val="Hyperlink"/>
                </w:rPr>
                <w:t xml:space="preserve">www.aihw.gov.au/about-us/our-governance</w:t>
              </w:r>
            </w:hyperlink>
            <w:r>
              <w:rPr>
                <w:rStyle w:val="row-content-rich-text"/>
              </w:rPr>
              <w:t xml:space="preserve">) and our role and strategic goals (</w:t>
            </w:r>
            <w:hyperlink w:history="true" r:id="Rde59767aaf4d4036">
              <w:r>
                <w:rPr>
                  <w:rStyle w:val="Hyperlink"/>
                </w:rPr>
                <w:t xml:space="preserve">www.aihw.gov.au/about-us/our-vision-and-strategic-goals</w:t>
              </w:r>
            </w:hyperlink>
            <w:r>
              <w:rPr>
                <w:rStyle w:val="row-content-rich-text"/>
              </w:rPr>
              <w:t xml:space="preserve">). </w:t>
            </w:r>
            <w:r>
              <w:rPr>
                <w:rStyle w:val="row-content"/>
              </w:rPr>
              <w:t xml:space="preserve">For further information see the AIHW website </w:t>
            </w:r>
            <w:hyperlink w:history="true" r:id="R3291f6762ab14f9e">
              <w:r>
                <w:rPr>
                  <w:rStyle w:val="Hyperlink"/>
                </w:rPr>
                <w:t xml:space="preserve">www.aihw.gov.au</w:t>
              </w:r>
            </w:hyperlink>
            <w:r>
              <w:rPr>
                <w:rStyle w:val="row-content"/>
              </w:rPr>
              <w:t xml:space="preserve">.</w:t>
            </w:r>
          </w:p>
          <w:p>
            <w:pPr>
              <w:spacing w:after="160"/>
            </w:pPr>
            <w:r>
              <w:rPr>
                <w:rStyle w:val="row-content-rich-text"/>
              </w:rPr>
              <w:t xml:space="preserve"> </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 and Aged Care.</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delivery health and family services related to the ministerial responsibilities of Health and Senior Territorians. For further information see the NT DoH website </w:t>
            </w:r>
            <w:hyperlink w:history="true" r:id="R27b71b3a4cfa48ab">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2022.</w:t>
            </w:r>
          </w:p>
          <w:p>
            <w:pPr/>
            <w:r>
              <w:rPr>
                <w:rStyle w:val="row-content-rich-text"/>
              </w:rPr>
              <w:t xml:space="preserve">The latest report was published in September 2023, with a reference period of July 2012 to December 2022.</w:t>
            </w:r>
            <w:r>
              <w:rPr>
                <w:rStyle w:val="row-content-rich-text"/>
              </w:rPr>
              <w:t xml:space="preserve">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1ea8e0af59d84e50">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spacing w:after="160"/>
            </w:pPr>
            <w:r>
              <w:rPr>
                <w:rStyle w:val="row-content-rich-text"/>
              </w:rPr>
              <w:t xml:space="preserve">Permission to obtain unpublished data must be sought from the NT DoH and the Department of Health and Aged Care via the AIHW. Additional approvals from relevant ethics committees of the Northern Territory may be required.</w:t>
            </w:r>
          </w:p>
          <w:p>
            <w:pPr/>
            <w:r>
              <w:rPr>
                <w:rStyle w:val="row-content-rich-text"/>
              </w:rPr>
              <w:t xml:space="preserve">Requests for unpublished data can be made by contacting the AIHW website. See </w:t>
            </w:r>
            <w:hyperlink w:history="true" r:id="R7ffda41e31ce4e04">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Stronger Futures in the Northern Territory/Northern Territory Remote Aboriginal Investment is available on the website of the Standing Council on Federal Financial Relations </w:t>
            </w:r>
            <w:hyperlink w:history="true" r:id="Rbe69c0ac25424f39">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service recipients'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around 4,300 children and young people who were aged under 21 and received ENT teleotology services. They are not a random sample of First Nations children and young people in the Northern Territory. Although these services are available to all First Nations people aged 0</w:t>
            </w:r>
            <w:r>
              <w:rPr>
                <w:rStyle w:val="row-content-rich-text"/>
              </w:rPr>
              <w:t xml:space="preserve">–</w:t>
            </w:r>
            <w:r>
              <w:rPr>
                <w:rStyle w:val="row-content-rich-text"/>
              </w:rPr>
              <w:t xml:space="preserve">20 in the Northern Territory, not all eligible people access them. As well, these services are more commonly accessed by those in remote areas. Therefore, results of analyses cannot be generalised to all First Nations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the AIHW. </w:t>
            </w:r>
          </w:p>
          <w:p>
            <w:pPr>
              <w:spacing w:after="160"/>
            </w:pPr>
            <w:r>
              <w:rPr>
                <w:rStyle w:val="row-content-rich-text"/>
              </w:rPr>
              <w:t xml:space="preserve">In order to protect privacy, personal information is not provided to the AIHW (for example, the child's name). Children can be counted only by using a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data is received by the AIHW. This means that at any point in time, there could be services provided that have not yet been captured in the ENT teleotology data collection. From July 2012 to December 2022, the median lag between ENT teleotology services being provided and records being entered into the AIHW's database was around 11 weeks.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First Nations children and young people aged under 16 in Prescribed Areas of the Northern Territory and targeted at children and young people who had a referral from their initial NTER Child Health Check. The ENT services provided through the HEBHBL are available to all First Nations children and young people in the Northern Territory aged 0–21. Additionally, the latest seven reports should not be compared with previous reports because the latest publications report the data in terms of calendar year, whereas previous publications report using financial year. The latest report allows for comparison of years from the second half of 2012 (July–December) and for each whole calendar year from 2013 to 2022. The current report was published in September 2023 (with data to December 2022).</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29/09/2023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341f3f1eb94066">
              <w:r>
                <w:rPr>
                  <w:rStyle w:val="Hyperlink"/>
                </w:rPr>
                <w:t xml:space="preserve">Northern Territory Remote Aboriginal Investment ENT teleotology data collection, 2020; Quality Statement</w:t>
              </w:r>
            </w:hyperlink>
          </w:p>
          <w:p>
            <w:pPr>
              <w:pStyle w:val="registration-status"/>
              <w:spacing w:before="0" w:after="0"/>
            </w:pPr>
            <w:hyperlink w:history="true" r:id="R4b4e145d6caf4e81">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Supersedes </w:t>
            </w:r>
            <w:hyperlink w:history="true" r:id="R129a0096382247c9">
              <w:r>
                <w:rPr>
                  <w:rStyle w:val="Hyperlink"/>
                </w:rPr>
                <w:t xml:space="preserve">Northern Territory Remote Aboriginal Investment ENT teleotology data collection, 2021; Quality Statement</w:t>
              </w:r>
            </w:hyperlink>
          </w:p>
          <w:p>
            <w:pPr>
              <w:pStyle w:val="registration-status"/>
              <w:spacing w:before="0" w:after="0"/>
            </w:pPr>
            <w:hyperlink w:history="true" r:id="Rd352506c17104aa3">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757c9b38fd4b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04f86a0b2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c9b38fd4b4773" /><Relationship Type="http://schemas.openxmlformats.org/officeDocument/2006/relationships/header" Target="/word/header1.xml" Id="Ref5db36ee5c944de" /><Relationship Type="http://schemas.openxmlformats.org/officeDocument/2006/relationships/settings" Target="/word/settings.xml" Id="R6c4661a4c1b44f5f" /><Relationship Type="http://schemas.openxmlformats.org/officeDocument/2006/relationships/styles" Target="/word/styles.xml" Id="Raa0f6bab39034565" /><Relationship Type="http://schemas.openxmlformats.org/officeDocument/2006/relationships/numbering" Target="/word/numbering.xml" Id="R9e745c494db042c5" /><Relationship Type="http://schemas.openxmlformats.org/officeDocument/2006/relationships/hyperlink" Target="https://meteor.aihw.gov.au/RegistrationAuthority/5" TargetMode="External" Id="R7c7efc4ccfba4a04" /><Relationship Type="http://schemas.openxmlformats.org/officeDocument/2006/relationships/hyperlink" Target="http://www.comlaw.gov.au/Series/C2004A03450" TargetMode="External" Id="Re163c88c98b94d01" /><Relationship Type="http://schemas.openxmlformats.org/officeDocument/2006/relationships/hyperlink" Target="http://www.aihw.gov.au/aihw-board/" TargetMode="External" Id="R10e3031f43bb4d6d" /><Relationship Type="http://schemas.openxmlformats.org/officeDocument/2006/relationships/hyperlink" Target="http://www.comlaw.gov.au/Details/C2011C00503" TargetMode="External" Id="R00c54babe9ea4f1f" /><Relationship Type="http://schemas.openxmlformats.org/officeDocument/2006/relationships/hyperlink" Target="https://www.aihw.gov.au/about-us" TargetMode="External" Id="R68b2a5abc2494340" /><Relationship Type="http://schemas.openxmlformats.org/officeDocument/2006/relationships/hyperlink" Target="https://www.aihw.gov.au/about-us/our-governance" TargetMode="External" Id="R7318e940b08a4786" /><Relationship Type="http://schemas.openxmlformats.org/officeDocument/2006/relationships/hyperlink" Target="https://www.aihw.gov.au/about-us/our-vision-and-strategic-goals" TargetMode="External" Id="Rde59767aaf4d4036" /><Relationship Type="http://schemas.openxmlformats.org/officeDocument/2006/relationships/hyperlink" Target="http://www.aihw.gov.au/" TargetMode="External" Id="R3291f6762ab14f9e" /><Relationship Type="http://schemas.openxmlformats.org/officeDocument/2006/relationships/hyperlink" Target="http://www.health.nt.gov.au/" TargetMode="External" Id="R27b71b3a4cfa48ab" /><Relationship Type="http://schemas.openxmlformats.org/officeDocument/2006/relationships/hyperlink" Target="http://www.aihw.gov.au/" TargetMode="External" Id="R1ea8e0af59d84e50" /><Relationship Type="http://schemas.openxmlformats.org/officeDocument/2006/relationships/hyperlink" Target="https://www.aihw.gov.au/our-services/data-on-request" TargetMode="External" Id="R7ffda41e31ce4e04" /><Relationship Type="http://schemas.openxmlformats.org/officeDocument/2006/relationships/hyperlink" Target="http://www.federalfinancialrelations.gov.au/" TargetMode="External" Id="Rbe69c0ac25424f39" /><Relationship Type="http://schemas.openxmlformats.org/officeDocument/2006/relationships/hyperlink" Target="https://meteor.aihw.gov.au/content/747608" TargetMode="External" Id="Ra5341f3f1eb94066" /><Relationship Type="http://schemas.openxmlformats.org/officeDocument/2006/relationships/hyperlink" Target="https://meteor.aihw.gov.au/RegistrationAuthority/5" TargetMode="External" Id="R4b4e145d6caf4e81" /><Relationship Type="http://schemas.openxmlformats.org/officeDocument/2006/relationships/hyperlink" Target="https://meteor.aihw.gov.au/content/764544" TargetMode="External" Id="R129a0096382247c9" /><Relationship Type="http://schemas.openxmlformats.org/officeDocument/2006/relationships/hyperlink" Target="https://meteor.aihw.gov.au/RegistrationAuthority/5" TargetMode="External" Id="Rd352506c17104aa3" /></Relationships>
</file>

<file path=word/_rels/header1.xml.rels>&#65279;<?xml version="1.0" encoding="utf-8"?><Relationships xmlns="http://schemas.openxmlformats.org/package/2006/relationships"><Relationship Type="http://schemas.openxmlformats.org/officeDocument/2006/relationships/image" Target="/media/image.png" Id="Rd2304f86a0b244ab" /></Relationships>
</file>