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0307fcc7e44e99" /></Relationships>
</file>

<file path=word/document.xml><?xml version="1.0" encoding="utf-8"?>
<w:document xmlns:r="http://schemas.openxmlformats.org/officeDocument/2006/relationships" xmlns:w="http://schemas.openxmlformats.org/wordprocessingml/2006/main">
  <w:body>
    <w:p>
      <w:pPr>
        <w:pStyle w:val="Title"/>
      </w:pPr>
      <w:r>
        <w:t>Number of hysterectomy hospitalisations per 100,000 women, aged 15 years and over, 2014-15, 2015-16, 2016-17, 2017-18, 2018-19, 2019-20, 2020-21 and 2021-22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hysterectomy hospitalisations per 100,000 women, aged 15 years and over, 2014-15, 2015-16, 2016-17, 2017-18, 2018-19, 2019-20, 2020-21 and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hospitalisations, 15 years and over, 2014-15 to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8e6a7402e4240">
              <w:r>
                <w:rPr>
                  <w:rStyle w:val="Hyperlink"/>
                  <w:color w:val="244061"/>
                </w:rPr>
                <w:t xml:space="preserve">Australian Commission on Safety and Quality in Health Care</w:t>
              </w:r>
            </w:hyperlink>
            <w:r>
              <w:rPr>
                <w:rStyle w:val="row-content"/>
                <w:color w:val="244061"/>
              </w:rPr>
              <w:t xml:space="preserve">, Standard 12/06/2024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hospitalisations per 100,000 females aged 15 years and over, age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5fb88a1a1b4e9a">
              <w:r>
                <w:rPr>
                  <w:rStyle w:val="Hyperlink"/>
                </w:rPr>
                <w:t xml:space="preserve">Australian Atlas of Healthcare Variation: Time Series </w:t>
              </w:r>
            </w:hyperlink>
          </w:p>
          <w:p>
            <w:pPr>
              <w:pStyle w:val="registration-status"/>
              <w:spacing w:before="0" w:after="0"/>
            </w:pPr>
            <w:hyperlink w:history="true" r:id="Rf915b5738d3e405a">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5718943c0814121">
              <w:r>
                <w:rPr>
                  <w:rStyle w:val="Hyperlink"/>
                </w:rPr>
                <w:t xml:space="preserve">ABS Estimated resident population (total population), QS</w:t>
              </w:r>
            </w:hyperlink>
          </w:p>
          <w:p>
            <w:pPr>
              <w:pStyle w:val="registration-status"/>
              <w:spacing w:before="0" w:after="0"/>
            </w:pPr>
            <w:hyperlink w:history="true" r:id="R3a0e1b3ecd5a4ae3">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and description</w:t>
                  </w:r>
                </w:p>
                <w:p>
                  <w:pPr>
                    <w:spacing w:after="160"/>
                  </w:pPr>
                  <w:r>
                    <w:rPr>
                      <w:rStyle w:val="row-content-rich-text"/>
                    </w:rPr>
                    <w:t xml:space="preserve"> The number includes records with at least one of the listed procedures. A record with more than one of the listed procedures is only counted once.</w:t>
                  </w:r>
                </w:p>
                <w:tbl>
                  <w:tblPr>
                    <w:tblStyle w:val="InnerTable"/>
                    <w:tblW w:w="5000" w:type="pct"/>
                    <w:tblLayout w:type="autofit"/>
                  </w:tblPr>
                  <w:tblGrid>
                    <w:gridCol/>
                    <w:gridCol/>
                    <w:gridCol/>
                    <w:gridCol/>
                    <w:gridCol/>
                    <w:gridCol/>
                  </w:tblGrid>
                  <w:tr>
                    <w:trPr/>
                    <w:tc>
                      <w:tcPr>
                        <w:tcW w:w="1100" w:type="pct"/>
                        <w:vAlign w:val="top"/>
                      </w:tcPr>
                      <w:p>
                        <w:pPr>
                          <w:spacing w:after="160"/>
                        </w:pPr>
                        <w:r>
                          <w:rPr>
                            <w:rStyle w:val="row-content-rich-text"/>
                            <w:b/>
                          </w:rPr>
                          <w:t xml:space="preserve">ACHI</w:t>
                        </w:r>
                      </w:p>
                      <w:p>
                        <w:pPr/>
                        <w:r>
                          <w:rPr>
                            <w:rStyle w:val="row-content-rich-text"/>
                            <w:b/>
                          </w:rPr>
                          <w:t xml:space="preserve">code</w:t>
                        </w:r>
                      </w:p>
                    </w:tc>
                    <w:tc>
                      <w:tcPr>
                        <w:tcW w:w="2500" w:type="pct"/>
                        <w:vAlign w:val="top"/>
                      </w:tcPr>
                      <w:p>
                        <w:r>
                          <w:rPr>
                            <w:b/>
                          </w:rPr>
                          <w:t xml:space="preserve">ACHI code title</w:t>
                        </w:r>
                      </w:p>
                    </w:tc>
                    <w:tc>
                      <w:tcPr>
                        <w:tcW w:w="250" w:type="pct"/>
                        <w:vAlign w:val="top"/>
                      </w:tcPr>
                      <w:p>
                        <w:r>
                          <w:rPr>
                            <w:b/>
                          </w:rPr>
                          <w:t xml:space="preserve">ACHI 8th edition</w:t>
                        </w:r>
                      </w:p>
                      <w:p>
                        <w:r>
                          <w:t xml:space="preserve">2014-15</w:t>
                        </w:r>
                      </w:p>
                    </w:tc>
                    <w:tc>
                      <w:tcPr>
                        <w:tcW w:w="300" w:type="pct"/>
                        <w:vAlign w:val="top"/>
                      </w:tcPr>
                      <w:p>
                        <w:r>
                          <w:rPr>
                            <w:b/>
                          </w:rPr>
                          <w:t xml:space="preserve">ACHI 9th edition</w:t>
                        </w:r>
                      </w:p>
                      <w:p>
                        <w:r>
                          <w:t xml:space="preserve">2015-16</w:t>
                        </w:r>
                      </w:p>
                      <w:p>
                        <w:r>
                          <w:t xml:space="preserve">2016-17</w:t>
                        </w:r>
                      </w:p>
                    </w:tc>
                    <w:tc>
                      <w:tcPr>
                        <w:tcW w:w="300" w:type="pct"/>
                        <w:vAlign w:val="top"/>
                      </w:tcPr>
                      <w:p>
                        <w:r>
                          <w:rPr>
                            <w:b/>
                          </w:rPr>
                          <w:t xml:space="preserve">ACHI 10th edition</w:t>
                        </w:r>
                      </w:p>
                      <w:p>
                        <w:r>
                          <w:t xml:space="preserve">2017-18</w:t>
                        </w:r>
                      </w:p>
                      <w:p>
                        <w:r>
                          <w:t xml:space="preserve">2018-19</w:t>
                        </w:r>
                      </w:p>
                    </w:tc>
                    <w:tc>
                      <w:tcPr>
                        <w:tcW w:w="350" w:type="pct"/>
                        <w:vAlign w:val="top"/>
                      </w:tcPr>
                      <w:p>
                        <w:r>
                          <w:rPr>
                            <w:b/>
                          </w:rPr>
                          <w:t xml:space="preserve">ACHI 11th edition</w:t>
                        </w:r>
                      </w:p>
                      <w:p>
                        <w:r>
                          <w:t xml:space="preserve">2019-20</w:t>
                        </w:r>
                      </w:p>
                      <w:p>
                        <w:r>
                          <w:t xml:space="preserve">2020-21</w:t>
                        </w:r>
                      </w:p>
                      <w:p>
                        <w:r>
                          <w:t xml:space="preserve">2021-22</w:t>
                        </w:r>
                      </w:p>
                    </w:tc>
                  </w:tr>
                  <w:tr>
                    <w:trPr/>
                    <w:tc>
                      <w:tcPr>
                        <w:tcW w:w="1100" w:type="pct"/>
                        <w:vAlign w:val="top"/>
                      </w:tcPr>
                      <w:p>
                        <w:r>
                          <w:t xml:space="preserve">90448–00</w:t>
                        </w:r>
                      </w:p>
                    </w:tc>
                    <w:tc>
                      <w:tcPr>
                        <w:tcW w:w="2500" w:type="pct"/>
                        <w:vAlign w:val="top"/>
                      </w:tcPr>
                      <w:p>
                        <w:r>
                          <w:t xml:space="preserve">Subtotal laparoscopic abdominal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35653–00</w:t>
                        </w:r>
                      </w:p>
                    </w:tc>
                    <w:tc>
                      <w:tcPr>
                        <w:tcW w:w="2500" w:type="pct"/>
                        <w:vAlign w:val="top"/>
                      </w:tcPr>
                      <w:p>
                        <w:r>
                          <w:t xml:space="preserve">Subtotal abdominal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90448–01</w:t>
                        </w:r>
                      </w:p>
                    </w:tc>
                    <w:tc>
                      <w:tcPr>
                        <w:tcW w:w="2500" w:type="pct"/>
                        <w:vAlign w:val="top"/>
                      </w:tcPr>
                      <w:p>
                        <w:r>
                          <w:t xml:space="preserve">Total laparoscopic abdominal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35653–01</w:t>
                        </w:r>
                      </w:p>
                    </w:tc>
                    <w:tc>
                      <w:tcPr>
                        <w:tcW w:w="2500" w:type="pct"/>
                        <w:vAlign w:val="top"/>
                      </w:tcPr>
                      <w:p>
                        <w:r>
                          <w:t xml:space="preserve">Total abdominal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90448–02</w:t>
                        </w:r>
                      </w:p>
                    </w:tc>
                    <w:tc>
                      <w:tcPr>
                        <w:tcW w:w="2500" w:type="pct"/>
                        <w:vAlign w:val="top"/>
                      </w:tcPr>
                      <w:p>
                        <w:r>
                          <w:t xml:space="preserve">Total laparoscopic abdominal hysterectomy with removal of adnexa</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35653–04</w:t>
                        </w:r>
                      </w:p>
                    </w:tc>
                    <w:tc>
                      <w:tcPr>
                        <w:tcW w:w="2500" w:type="pct"/>
                        <w:vAlign w:val="top"/>
                      </w:tcPr>
                      <w:p>
                        <w:r>
                          <w:t xml:space="preserve">Total abdominal hysterectomy with removal of adnexa</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35653–05</w:t>
                        </w:r>
                      </w:p>
                    </w:tc>
                    <w:tc>
                      <w:tcPr>
                        <w:tcW w:w="2500" w:type="pct"/>
                        <w:vAlign w:val="top"/>
                      </w:tcPr>
                      <w:p>
                        <w:r>
                          <w:t xml:space="preserve">Laparoscopic total abdominal hysterectomy</w:t>
                        </w:r>
                      </w:p>
                    </w:tc>
                    <w:tc>
                      <w:tcPr>
                        <w:tcW w:w="25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rPr>
                            <w:b/>
                          </w:rPr>
                          <w:t xml:space="preserve">✓</w:t>
                        </w:r>
                      </w:p>
                    </w:tc>
                  </w:tr>
                  <w:tr>
                    <w:trPr/>
                    <w:tc>
                      <w:tcPr>
                        <w:tcW w:w="1100" w:type="pct"/>
                        <w:vAlign w:val="top"/>
                      </w:tcPr>
                      <w:p>
                        <w:r>
                          <w:t xml:space="preserve">35653–07</w:t>
                        </w:r>
                      </w:p>
                    </w:tc>
                    <w:tc>
                      <w:tcPr>
                        <w:tcW w:w="2500" w:type="pct"/>
                        <w:vAlign w:val="top"/>
                      </w:tcPr>
                      <w:p>
                        <w:r>
                          <w:t xml:space="preserve">Laparoscopic subtotal abdominal hysterectomy</w:t>
                        </w:r>
                      </w:p>
                    </w:tc>
                    <w:tc>
                      <w:tcPr>
                        <w:tcW w:w="25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rPr>
                            <w:b/>
                          </w:rPr>
                          <w:t xml:space="preserve">✓</w:t>
                        </w:r>
                      </w:p>
                    </w:tc>
                  </w:tr>
                  <w:tr>
                    <w:trPr/>
                    <w:tc>
                      <w:tcPr>
                        <w:tcW w:w="1100" w:type="pct"/>
                        <w:vAlign w:val="top"/>
                      </w:tcPr>
                      <w:p>
                        <w:r>
                          <w:t xml:space="preserve">35661–00</w:t>
                        </w:r>
                      </w:p>
                    </w:tc>
                    <w:tc>
                      <w:tcPr>
                        <w:tcW w:w="2500" w:type="pct"/>
                        <w:vAlign w:val="top"/>
                      </w:tcPr>
                      <w:p>
                        <w:r>
                          <w:t xml:space="preserve">Abdominal hysterectomy with extensive retroperitoneal dissection</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35670–00</w:t>
                        </w:r>
                      </w:p>
                    </w:tc>
                    <w:tc>
                      <w:tcPr>
                        <w:tcW w:w="2500" w:type="pct"/>
                        <w:vAlign w:val="top"/>
                      </w:tcPr>
                      <w:p>
                        <w:r>
                          <w:t xml:space="preserve">Abdominal hysterectomy with radical excision of pelvic lymph nodes</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35667–00</w:t>
                        </w:r>
                      </w:p>
                    </w:tc>
                    <w:tc>
                      <w:tcPr>
                        <w:tcW w:w="2500" w:type="pct"/>
                        <w:vAlign w:val="top"/>
                      </w:tcPr>
                      <w:p>
                        <w:r>
                          <w:t xml:space="preserve">Radical abdominal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35667–02</w:t>
                        </w:r>
                      </w:p>
                    </w:tc>
                    <w:tc>
                      <w:tcPr>
                        <w:tcW w:w="2500" w:type="pct"/>
                        <w:vAlign w:val="top"/>
                      </w:tcPr>
                      <w:p>
                        <w:r>
                          <w:t xml:space="preserve">Laparoscopic radical abdominal hysterectomy</w:t>
                        </w:r>
                      </w:p>
                    </w:tc>
                    <w:tc>
                      <w:tcPr>
                        <w:tcW w:w="25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rPr>
                            <w:b/>
                          </w:rPr>
                          <w:t xml:space="preserve">✓</w:t>
                        </w:r>
                      </w:p>
                    </w:tc>
                  </w:tr>
                  <w:tr>
                    <w:trPr/>
                    <w:tc>
                      <w:tcPr>
                        <w:tcW w:w="1100" w:type="pct"/>
                        <w:vAlign w:val="top"/>
                      </w:tcPr>
                      <w:p>
                        <w:r>
                          <w:t xml:space="preserve">35667–03</w:t>
                        </w:r>
                      </w:p>
                    </w:tc>
                    <w:tc>
                      <w:tcPr>
                        <w:tcW w:w="2500" w:type="pct"/>
                        <w:vAlign w:val="top"/>
                      </w:tcPr>
                      <w:p>
                        <w:r>
                          <w:t xml:space="preserve">Laparoscopic assisted radical vaginal hysterectomy</w:t>
                        </w:r>
                      </w:p>
                    </w:tc>
                    <w:tc>
                      <w:tcPr>
                        <w:tcW w:w="25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rPr>
                            <w:b/>
                          </w:rPr>
                          <w:t xml:space="preserve">✓</w:t>
                        </w:r>
                      </w:p>
                    </w:tc>
                  </w:tr>
                  <w:tr>
                    <w:trPr/>
                    <w:tc>
                      <w:tcPr>
                        <w:tcW w:w="1100" w:type="pct"/>
                        <w:vAlign w:val="top"/>
                      </w:tcPr>
                      <w:p>
                        <w:r>
                          <w:t xml:space="preserve">35664–00</w:t>
                        </w:r>
                      </w:p>
                    </w:tc>
                    <w:tc>
                      <w:tcPr>
                        <w:tcW w:w="2500" w:type="pct"/>
                        <w:vAlign w:val="top"/>
                      </w:tcPr>
                      <w:p>
                        <w:r>
                          <w:t xml:space="preserve">Radical abdominal hysterectomy with radical excision of pelvic lymph nodes</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35657–00</w:t>
                        </w:r>
                      </w:p>
                    </w:tc>
                    <w:tc>
                      <w:tcPr>
                        <w:tcW w:w="2500" w:type="pct"/>
                        <w:vAlign w:val="top"/>
                      </w:tcPr>
                      <w:p>
                        <w:r>
                          <w:t xml:space="preserve">Vaginal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35673–02</w:t>
                        </w:r>
                      </w:p>
                    </w:tc>
                    <w:tc>
                      <w:tcPr>
                        <w:tcW w:w="2500" w:type="pct"/>
                        <w:vAlign w:val="top"/>
                      </w:tcPr>
                      <w:p>
                        <w:r>
                          <w:t xml:space="preserve">Vaginal hysterectomy with removal of adnexa</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35667–01</w:t>
                        </w:r>
                      </w:p>
                    </w:tc>
                    <w:tc>
                      <w:tcPr>
                        <w:tcW w:w="2500" w:type="pct"/>
                        <w:vAlign w:val="top"/>
                      </w:tcPr>
                      <w:p>
                        <w:r>
                          <w:t xml:space="preserve">Radical vaginal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35664–01</w:t>
                        </w:r>
                      </w:p>
                    </w:tc>
                    <w:tc>
                      <w:tcPr>
                        <w:tcW w:w="2500" w:type="pct"/>
                        <w:vAlign w:val="top"/>
                      </w:tcPr>
                      <w:p>
                        <w:r>
                          <w:t xml:space="preserve">Radical vaginal hysterectomy with radical excision of pelvic lymph nodes</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r>
                    <w:trPr/>
                    <w:tc>
                      <w:tcPr>
                        <w:tcW w:w="1100" w:type="pct"/>
                        <w:vAlign w:val="top"/>
                      </w:tcPr>
                      <w:p>
                        <w:r>
                          <w:t xml:space="preserve">35750–00</w:t>
                        </w:r>
                      </w:p>
                    </w:tc>
                    <w:tc>
                      <w:tcPr>
                        <w:tcW w:w="2500" w:type="pct"/>
                        <w:vAlign w:val="top"/>
                      </w:tcPr>
                      <w:p>
                        <w:r>
                          <w:t xml:space="preserve">Laparoscopically assisted vaginal hysterectomy</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rPr>
                            <w:b/>
                          </w:rPr>
                          <w:t xml:space="preserve">✓</w:t>
                        </w:r>
                      </w:p>
                    </w:tc>
                  </w:tr>
                  <w:tr>
                    <w:trPr/>
                    <w:tc>
                      <w:tcPr>
                        <w:tcW w:w="1100" w:type="pct"/>
                        <w:vAlign w:val="top"/>
                      </w:tcPr>
                      <w:p>
                        <w:r>
                          <w:t xml:space="preserve">35753–02</w:t>
                        </w:r>
                      </w:p>
                    </w:tc>
                    <w:tc>
                      <w:tcPr>
                        <w:tcW w:w="2500" w:type="pct"/>
                        <w:vAlign w:val="top"/>
                      </w:tcPr>
                      <w:p>
                        <w:r>
                          <w:t xml:space="preserve">Laparoscopically assisted vaginal hysterectomy with removal of adnexa</w:t>
                        </w:r>
                      </w:p>
                    </w:tc>
                    <w:tc>
                      <w:tcPr>
                        <w:tcW w:w="250" w:type="pct"/>
                        <w:vAlign w:val="top"/>
                      </w:tcPr>
                      <w:p>
                        <w:r>
                          <w:rPr>
                            <w:b/>
                          </w:rPr>
                          <w:t xml:space="preserve">✓</w:t>
                        </w:r>
                      </w:p>
                    </w:tc>
                    <w:tc>
                      <w:tcPr>
                        <w:tcW w:w="300" w:type="pct"/>
                        <w:vAlign w:val="top"/>
                      </w:tcPr>
                      <w:p>
                        <w:r>
                          <w:rPr>
                            <w:b/>
                          </w:rPr>
                          <w:t xml:space="preserve">✓</w:t>
                        </w:r>
                      </w:p>
                    </w:tc>
                    <w:tc>
                      <w:tcPr>
                        <w:tcW w:w="300" w:type="pct"/>
                        <w:vAlign w:val="top"/>
                      </w:tcPr>
                      <w:p>
                        <w:r>
                          <w:rPr>
                            <w:b/>
                          </w:rPr>
                          <w:t xml:space="preserve">✓</w:t>
                        </w:r>
                      </w:p>
                    </w:tc>
                    <w:tc>
                      <w:tcPr>
                        <w:tcW w:w="350" w:type="pct"/>
                        <w:vAlign w:val="top"/>
                      </w:tcPr>
                      <w:p>
                        <w:r>
                          <w:t xml:space="preserve"> </w:t>
                        </w:r>
                      </w:p>
                    </w:tc>
                  </w:tr>
                </w:tbl>
                <w:p>
                  <w:r>
                    <w:rPr>
                      <w:b/>
                    </w:rPr>
                    <w:t xml:space="preserve"> </w:t>
                  </w:r>
                </w:p>
                <w:p>
                  <w:r>
                    <w:rPr>
                      <w:b/>
                    </w:rPr>
                    <w:t xml:space="preserve">Exclusion criteria</w:t>
                  </w:r>
                </w:p>
                <w:p>
                  <w:r>
                    <w:t xml:space="preserve">The numerator excludes records with at least one of the below diagnosis codes or care type. </w:t>
                  </w:r>
                </w:p>
                <w:tbl>
                  <w:tblPr>
                    <w:tblStyle w:val="InnerTable"/>
                    <w:tblW w:w="5000" w:type="pct"/>
                    <w:tblLayout w:type="autofit"/>
                  </w:tblPr>
                  <w:tblGrid>
                    <w:gridCol/>
                    <w:gridCol/>
                    <w:gridCol/>
                  </w:tblGrid>
                  <w:tr>
                    <w:trPr/>
                    <w:tc>
                      <w:tcPr>
                        <w:tcW w:w="900" w:type="pct"/>
                        <w:vAlign w:val="top"/>
                      </w:tcPr>
                      <w:p>
                        <w:r>
                          <w:rPr>
                            <w:b/>
                          </w:rPr>
                          <w:t xml:space="preserve">ICD-10-AM 8th edition code</w:t>
                        </w:r>
                      </w:p>
                    </w:tc>
                    <w:tc>
                      <w:tcPr>
                        <w:tcW w:w="1550" w:type="pct"/>
                        <w:vAlign w:val="top"/>
                      </w:tcPr>
                      <w:p>
                        <w:r>
                          <w:rPr>
                            <w:b/>
                          </w:rPr>
                          <w:t xml:space="preserve">Description</w:t>
                        </w:r>
                      </w:p>
                    </w:tc>
                    <w:tc>
                      <w:tcPr>
                        <w:tcW w:w="2500" w:type="pct"/>
                        <w:vAlign w:val="top"/>
                      </w:tcPr>
                      <w:p>
                        <w:r>
                          <w:rPr>
                            <w:b/>
                          </w:rPr>
                          <w:t xml:space="preserve">Additional information</w:t>
                        </w:r>
                      </w:p>
                    </w:tc>
                  </w:tr>
                  <w:tr>
                    <w:trPr/>
                    <w:tc>
                      <w:tcPr>
                        <w:tcW w:w="900" w:type="pct"/>
                        <w:vAlign w:val="top"/>
                      </w:tcPr>
                      <w:p>
                        <w:r>
                          <w:t xml:space="preserve">C51-C58</w:t>
                        </w:r>
                      </w:p>
                    </w:tc>
                    <w:tc>
                      <w:tcPr>
                        <w:tcW w:w="1550" w:type="pct"/>
                        <w:vAlign w:val="top"/>
                      </w:tcPr>
                      <w:p>
                        <w:r>
                          <w:t xml:space="preserve">Malignant neoplasms of female genital organs (primary)</w:t>
                        </w:r>
                      </w:p>
                    </w:tc>
                    <w:tc>
                      <w:tcPr>
                        <w:tcW w:w="2500" w:type="pct"/>
                        <w:vMerge w:val="restart"/>
                        <w:vAlign w:val="top"/>
                      </w:tcPr>
                      <w:p>
                        <w:r>
                          <w:t xml:space="preserve">As principal or additional diagnosis code</w:t>
                        </w:r>
                      </w:p>
                    </w:tc>
                  </w:tr>
                  <w:tr>
                    <w:trPr/>
                    <w:tc>
                      <w:tcPr>
                        <w:tcW w:w="900" w:type="pct"/>
                        <w:vAlign w:val="top"/>
                      </w:tcPr>
                      <w:p>
                        <w:r>
                          <w:t xml:space="preserve">C79.82</w:t>
                        </w:r>
                      </w:p>
                    </w:tc>
                    <w:tc>
                      <w:tcPr>
                        <w:tcW w:w="1550" w:type="pct"/>
                        <w:vMerge/>
                      </w:tcPr>
                      <w:p/>
                    </w:tc>
                    <w:tc>
                      <w:tcPr>
                        <w:tcW w:w="2500" w:type="pct"/>
                        <w:vAlign w:val="top"/>
                      </w:tcPr>
                      <w:p>
                        <w:r>
                          <w:t xml:space="preserve">Secondary malignant neoplasm of genital organs</w:t>
                        </w:r>
                      </w:p>
                    </w:tc>
                  </w:tr>
                </w:tbl>
                <w:p>
                  <w:r>
                    <w:rPr>
                      <w:b/>
                    </w:rPr>
                    <w:t xml:space="preserve"> </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a crude rate (number per 100,000 females) and age standardised rate which is directly age standardised to the 2001 Australian female population aged 15 years and over, using 5-year age groups 15–19, 20–24, … , 80–84, 85 and over.</w:t>
                  </w:r>
                </w:p>
                <w:p>
                  <w:r>
                    <w:t xml:space="preserve">Rates for 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643aefb932514426">
                    <w:r>
                      <w:rPr>
                        <w:rStyle w:val="Hyperlink"/>
                      </w:rPr>
                      <w:t xml:space="preserve">/content/index.phtml/itemId/327276</w:t>
                    </w:r>
                  </w:hyperlink>
                </w:p>
                <w:p>
                  <w:r>
                    <w:t xml:space="preserve">Analysis by Statistical Area Level 3 (SA3) is based on Statistical Area Level 2 (SA2) of usual residence of the patient.</w:t>
                  </w:r>
                </w:p>
                <w:p>
                  <w:r>
                    <w:t xml:space="preserve">Suppress data (number or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10</w:t>
                  </w:r>
                </w:p>
                <w:p>
                  <w:r>
                    <w:t xml:space="preserve">Age standardised rates are suppressed where the denominator for at least one of the age groups used to calculate the rate is below 30. For further information refer to the </w:t>
                  </w:r>
                  <w:hyperlink w:history="true" r:id="R5e1c8c3ab377427a">
                    <w:r>
                      <w:rPr>
                        <w:rStyle w:val="Hyperlink"/>
                      </w:rPr>
                      <w:t xml:space="preserve">technical note</w:t>
                    </w:r>
                  </w:hyperlink>
                  <w:r>
                    <w:t xml:space="preserve">. </w:t>
                  </w:r>
                </w:p>
              </w:tc>
            </w:tr>
            <w:tr>
              <w:trPr/>
              <w:tc>
                <w:tcPr>
                  <w:tcW w:w="5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hysterectomy,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bl>
            <w:tblPr>
              <w:tblStyle w:val="TableGrid"/>
              <w:tblW w:w="5000" w:type="pct"/>
              <w:tblLayout w:type="autofit"/>
            </w:tblPr>
            <w:tblGrid>
              <w:gridCol/>
              <w:gridCol/>
            </w:tblGrid>
            <w:tr>
              <w:trPr/>
              <w:tc>
                <w:tcPr>
                  <w:tcW w:w="2850" w:type="pct"/>
                  <w:vAlign w:val="top"/>
                </w:tcPr>
                <w:p>
                  <w:r>
                    <w:rPr>
                      <w:rStyle w:val="row-content"/>
                      <w:b/>
                    </w:rPr>
                    <w:t xml:space="preserve">Data Element</w:t>
                  </w:r>
                </w:p>
              </w:tc>
              <w:tc>
                <w:tcPr>
                  <w:tcW w:w="2100" w:type="pct"/>
                  <w:vAlign w:val="top"/>
                </w:tcPr>
                <w:p>
                  <w:r>
                    <w:rPr>
                      <w:b/>
                    </w:rPr>
                    <w:t xml:space="preserve">NMDS / DSS</w:t>
                  </w:r>
                </w:p>
              </w:tc>
            </w:tr>
            <w:tr>
              <w:trPr/>
              <w:tc>
                <w:tcPr>
                  <w:tcW w:w="2850" w:type="pct"/>
                  <w:vAlign w:val="top"/>
                </w:tcPr>
                <w:p>
                  <w:hyperlink w:history="true" r:id="R42d9f7bb1f694a79">
                    <w:r>
                      <w:rPr>
                        <w:rStyle w:val="Hyperlink"/>
                      </w:rPr>
                      <w:t xml:space="preserve">Episode of care—additional diagnosis, code (ICD-10-AM 8th edn) ANN{.N[N]}</w:t>
                    </w:r>
                  </w:hyperlink>
                </w:p>
              </w:tc>
              <w:tc>
                <w:tcPr>
                  <w:tcW w:w="2100" w:type="pct"/>
                  <w:vAlign w:val="top"/>
                </w:tcPr>
                <w:p>
                  <w:hyperlink w:history="true" r:id="R197cd1c213044d28">
                    <w:r>
                      <w:rPr>
                        <w:rStyle w:val="Hyperlink"/>
                      </w:rPr>
                      <w:t xml:space="preserve">Admitted patient care NMDS 2014-15</w:t>
                    </w:r>
                  </w:hyperlink>
                </w:p>
                <w:p>
                  <w:r>
                    <w:t xml:space="preserve"> </w:t>
                  </w:r>
                </w:p>
              </w:tc>
            </w:tr>
            <w:tr>
              <w:trPr/>
              <w:tc>
                <w:tcPr>
                  <w:tcW w:w="2850" w:type="pct"/>
                  <w:vAlign w:val="top"/>
                </w:tcPr>
                <w:p>
                  <w:hyperlink w:history="true" r:id="R3b2e5a2086af4025">
                    <w:r>
                      <w:rPr>
                        <w:rStyle w:val="Hyperlink"/>
                      </w:rPr>
                      <w:t xml:space="preserve">Episode of care—additional diagnosis, code (ICD-10-AM 9th edn) ANN{.N[N]}</w:t>
                    </w:r>
                  </w:hyperlink>
                </w:p>
              </w:tc>
              <w:tc>
                <w:tcPr>
                  <w:tcW w:w="2100" w:type="pct"/>
                  <w:vAlign w:val="top"/>
                </w:tcPr>
                <w:p>
                  <w:hyperlink w:history="true" r:id="R49a0356c525b403f">
                    <w:r>
                      <w:rPr>
                        <w:rStyle w:val="Hyperlink"/>
                      </w:rPr>
                      <w:t xml:space="preserve">Admitted patient care NMDS 2015-16</w:t>
                    </w:r>
                  </w:hyperlink>
                </w:p>
                <w:p>
                  <w:hyperlink w:history="true" r:id="R3ea21c19b3584b91">
                    <w:r>
                      <w:rPr>
                        <w:rStyle w:val="Hyperlink"/>
                      </w:rPr>
                      <w:t xml:space="preserve">Admitted patient care NMDS 2016-17</w:t>
                    </w:r>
                  </w:hyperlink>
                </w:p>
              </w:tc>
            </w:tr>
            <w:tr>
              <w:trPr/>
              <w:tc>
                <w:tcPr>
                  <w:tcW w:w="2850" w:type="pct"/>
                  <w:vAlign w:val="top"/>
                </w:tcPr>
                <w:p>
                  <w:hyperlink w:history="true" r:id="R25b0e57b86ba4ebe">
                    <w:r>
                      <w:rPr>
                        <w:rStyle w:val="Hyperlink"/>
                      </w:rPr>
                      <w:t xml:space="preserve">Episode of care—additional diagnosis, code (ICD-10-AM 10th edn) ANN{.N[N]}</w:t>
                    </w:r>
                  </w:hyperlink>
                </w:p>
              </w:tc>
              <w:tc>
                <w:tcPr>
                  <w:tcW w:w="2100" w:type="pct"/>
                  <w:vAlign w:val="top"/>
                </w:tcPr>
                <w:p>
                  <w:hyperlink w:history="true" r:id="Rd6a10e24fba44d76">
                    <w:r>
                      <w:rPr>
                        <w:rStyle w:val="Hyperlink"/>
                      </w:rPr>
                      <w:t xml:space="preserve">Admitted patient care NMDS 2017-18</w:t>
                    </w:r>
                  </w:hyperlink>
                </w:p>
                <w:p>
                  <w:r>
                    <w:t xml:space="preserve"> </w:t>
                  </w:r>
                </w:p>
              </w:tc>
            </w:tr>
            <w:tr>
              <w:trPr/>
              <w:tc>
                <w:tcPr>
                  <w:tcW w:w="2850" w:type="pct"/>
                  <w:vAlign w:val="top"/>
                </w:tcPr>
                <w:p>
                  <w:hyperlink w:history="true" r:id="R5b2160dab7f94707">
                    <w:r>
                      <w:rPr>
                        <w:rStyle w:val="Hyperlink"/>
                      </w:rPr>
                      <w:t xml:space="preserve">Episode of care—additional diagnosis, code (ICD-10-AM 10th edn) ANN{.N[N]}</w:t>
                    </w:r>
                  </w:hyperlink>
                </w:p>
              </w:tc>
              <w:tc>
                <w:tcPr>
                  <w:tcW w:w="2100" w:type="pct"/>
                  <w:vAlign w:val="top"/>
                </w:tcPr>
                <w:p>
                  <w:hyperlink w:history="true" r:id="R35f394049e194ddd">
                    <w:r>
                      <w:rPr>
                        <w:rStyle w:val="Hyperlink"/>
                      </w:rPr>
                      <w:t xml:space="preserve">Admitted patient care NMDS 2018-19</w:t>
                    </w:r>
                  </w:hyperlink>
                </w:p>
              </w:tc>
            </w:tr>
            <w:tr>
              <w:trPr/>
              <w:tc>
                <w:tcPr>
                  <w:tcW w:w="2850" w:type="pct"/>
                  <w:vAlign w:val="top"/>
                </w:tcPr>
                <w:p>
                  <w:hyperlink w:history="true" r:id="Rb7ee8dfa5c55473b">
                    <w:r>
                      <w:rPr>
                        <w:rStyle w:val="Hyperlink"/>
                      </w:rPr>
                      <w:t xml:space="preserve">Episode of care—additional diagnosis, code (ICD-10-AM 11th edn) ANN{.N[N]}</w:t>
                    </w:r>
                  </w:hyperlink>
                </w:p>
              </w:tc>
              <w:tc>
                <w:tcPr>
                  <w:tcW w:w="2100" w:type="pct"/>
                  <w:vAlign w:val="top"/>
                </w:tcPr>
                <w:p>
                  <w:hyperlink w:history="true" r:id="R15b185d0be8340c0">
                    <w:r>
                      <w:rPr>
                        <w:rStyle w:val="Hyperlink"/>
                      </w:rPr>
                      <w:t xml:space="preserve">Admitted patient care NMDS 2019-20</w:t>
                    </w:r>
                  </w:hyperlink>
                </w:p>
                <w:p>
                  <w:hyperlink w:history="true" r:id="R913e03f16bec4206">
                    <w:r>
                      <w:rPr>
                        <w:rStyle w:val="Hyperlink"/>
                      </w:rPr>
                      <w:t xml:space="preserve">Admitted patient care NMDS 2020-21</w:t>
                    </w:r>
                  </w:hyperlink>
                </w:p>
                <w:p>
                  <w:hyperlink w:history="true" r:id="R510e9d2a37fb498b">
                    <w:r>
                      <w:rPr>
                        <w:rStyle w:val="Hyperlink"/>
                      </w:rPr>
                      <w:t xml:space="preserve">Admitted patient care NMDS 2021-22</w:t>
                    </w:r>
                  </w:hyperlink>
                </w:p>
              </w:tc>
            </w:tr>
          </w:tbl>
          <w:p>
            <w:r>
              <w:rPr>
                <w:b/>
              </w:rPr>
              <w:t xml:space="preserve">Guide for use</w:t>
            </w:r>
          </w:p>
          <w:p>
            <w:r>
              <w:t xml:space="preserve">Data source type: Administrative by-product data.</w:t>
            </w:r>
          </w:p>
          <w:p>
            <w:r>
              <w:t xml:space="preserve"> </w:t>
            </w:r>
          </w:p>
          <w:p>
            <w:r>
              <w:rPr>
                <w:b/>
                <w:color w:val="000000"/>
              </w:rPr>
              <w:t xml:space="preserve">Data Element / Data Set</w:t>
            </w:r>
          </w:p>
          <w:tbl>
            <w:tblPr>
              <w:tblStyle w:val="TableGrid"/>
              <w:tblW w:w="5000" w:type="pct"/>
              <w:tblLayout w:type="autofit"/>
            </w:tblPr>
            <w:tblGrid>
              <w:gridCol/>
              <w:gridCol/>
            </w:tblGrid>
            <w:tr>
              <w:trPr/>
              <w:tc>
                <w:tcPr>
                  <w:tcW w:w="2550" w:type="pct"/>
                  <w:vAlign w:val="top"/>
                </w:tcPr>
                <w:p>
                  <w:r>
                    <w:rPr>
                      <w:rStyle w:val="row-content"/>
                      <w:b/>
                    </w:rPr>
                    <w:t xml:space="preserve">Data Element</w:t>
                  </w:r>
                </w:p>
              </w:tc>
              <w:tc>
                <w:tcPr>
                  <w:tcW w:w="2400" w:type="pct"/>
                  <w:vAlign w:val="top"/>
                </w:tcPr>
                <w:p>
                  <w:r>
                    <w:rPr>
                      <w:rStyle w:val="row-content"/>
                      <w:b/>
                    </w:rPr>
                    <w:t xml:space="preserve">NMDS / DSS</w:t>
                  </w:r>
                </w:p>
              </w:tc>
            </w:tr>
            <w:tr>
              <w:trPr/>
              <w:tc>
                <w:tcPr>
                  <w:tcW w:w="2550" w:type="pct"/>
                  <w:vAlign w:val="top"/>
                </w:tcPr>
                <w:p>
                  <w:hyperlink w:history="true" r:id="R61cf7e1f96d541ca">
                    <w:r>
                      <w:rPr>
                        <w:rStyle w:val="Hyperlink"/>
                      </w:rPr>
                      <w:t xml:space="preserve">Episode of admitted patient care—procedure, code (ACHI 8th edn) NNNNN-NN</w:t>
                    </w:r>
                  </w:hyperlink>
                </w:p>
                <w:p>
                  <w:r>
                    <w:t xml:space="preserve"> </w:t>
                  </w:r>
                </w:p>
              </w:tc>
              <w:tc>
                <w:tcPr>
                  <w:tcW w:w="2400" w:type="pct"/>
                  <w:vAlign w:val="top"/>
                </w:tcPr>
                <w:p>
                  <w:hyperlink w:history="true" r:id="R71494166d2604554">
                    <w:r>
                      <w:rPr>
                        <w:rStyle w:val="Hyperlink"/>
                      </w:rPr>
                      <w:t xml:space="preserve">Admitted patient care NMDS 2014-15</w:t>
                    </w:r>
                  </w:hyperlink>
                </w:p>
                <w:p>
                  <w:r>
                    <w:t xml:space="preserve"> </w:t>
                  </w:r>
                </w:p>
              </w:tc>
            </w:tr>
            <w:tr>
              <w:trPr/>
              <w:tc>
                <w:tcPr>
                  <w:tcW w:w="2550" w:type="pct"/>
                  <w:vAlign w:val="top"/>
                </w:tcPr>
                <w:p>
                  <w:hyperlink w:history="true" r:id="R849bba8935264088">
                    <w:r>
                      <w:rPr>
                        <w:rStyle w:val="Hyperlink"/>
                      </w:rPr>
                      <w:t xml:space="preserve">Episode of admitted patient care—procedure, code (ACHI 9th edn) NNNNN-NN</w:t>
                    </w:r>
                  </w:hyperlink>
                </w:p>
                <w:p>
                  <w:r>
                    <w:t xml:space="preserve"> </w:t>
                  </w:r>
                </w:p>
              </w:tc>
              <w:tc>
                <w:tcPr>
                  <w:tcW w:w="2400" w:type="pct"/>
                  <w:vAlign w:val="top"/>
                </w:tcPr>
                <w:p>
                  <w:hyperlink w:history="true" r:id="R2e492f8712944b74">
                    <w:r>
                      <w:rPr>
                        <w:rStyle w:val="Hyperlink"/>
                      </w:rPr>
                      <w:t xml:space="preserve">Admitted patient care NMDS 2015-16</w:t>
                    </w:r>
                  </w:hyperlink>
                </w:p>
                <w:p>
                  <w:hyperlink w:history="true" r:id="Rcf22cb233ab04a40">
                    <w:r>
                      <w:rPr>
                        <w:rStyle w:val="Hyperlink"/>
                      </w:rPr>
                      <w:t xml:space="preserve">Admitted patient care NMDS 2016-17</w:t>
                    </w:r>
                  </w:hyperlink>
                </w:p>
                <w:p>
                  <w:r>
                    <w:t xml:space="preserve"> </w:t>
                  </w:r>
                </w:p>
              </w:tc>
            </w:tr>
            <w:tr>
              <w:trPr/>
              <w:tc>
                <w:tcPr>
                  <w:tcW w:w="2550" w:type="pct"/>
                  <w:vAlign w:val="top"/>
                </w:tcPr>
                <w:p>
                  <w:hyperlink w:history="true" r:id="R2a450f6dcb7f42df">
                    <w:r>
                      <w:rPr>
                        <w:rStyle w:val="Hyperlink"/>
                      </w:rPr>
                      <w:t xml:space="preserve">Episode of admitted patient care—procedure, code (ACHI 10th edn) NNNNN-NN</w:t>
                    </w:r>
                  </w:hyperlink>
                </w:p>
                <w:p>
                  <w:r>
                    <w:t xml:space="preserve"> </w:t>
                  </w:r>
                </w:p>
              </w:tc>
              <w:tc>
                <w:tcPr>
                  <w:tcW w:w="2400" w:type="pct"/>
                  <w:vAlign w:val="top"/>
                </w:tcPr>
                <w:p>
                  <w:hyperlink w:history="true" r:id="R838e236be4294f3a">
                    <w:r>
                      <w:rPr>
                        <w:rStyle w:val="Hyperlink"/>
                      </w:rPr>
                      <w:t xml:space="preserve">Admitted patient care NMDS 2017-18</w:t>
                    </w:r>
                  </w:hyperlink>
                </w:p>
                <w:p>
                  <w:hyperlink w:history="true" r:id="R46a29e3d4e6f4d92">
                    <w:r>
                      <w:rPr>
                        <w:rStyle w:val="Hyperlink"/>
                      </w:rPr>
                      <w:t xml:space="preserve">Admitted patient care NMDS 2018-19</w:t>
                    </w:r>
                  </w:hyperlink>
                </w:p>
              </w:tc>
            </w:tr>
            <w:tr>
              <w:trPr/>
              <w:tc>
                <w:tcPr>
                  <w:tcW w:w="2550" w:type="pct"/>
                  <w:vAlign w:val="top"/>
                </w:tcPr>
                <w:p>
                  <w:hyperlink w:history="true" r:id="R4f2689f7782749d1">
                    <w:r>
                      <w:rPr>
                        <w:rStyle w:val="Hyperlink"/>
                      </w:rPr>
                      <w:t xml:space="preserve">Episode of admitted patient care—procedure, code (ACHI 11th edn) NNNNN-NN</w:t>
                    </w:r>
                  </w:hyperlink>
                </w:p>
                <w:p>
                  <w:r>
                    <w:t xml:space="preserve"> </w:t>
                  </w:r>
                </w:p>
              </w:tc>
              <w:tc>
                <w:tcPr>
                  <w:tcW w:w="2400" w:type="pct"/>
                  <w:vAlign w:val="top"/>
                </w:tcPr>
                <w:p>
                  <w:hyperlink w:history="true" r:id="R8d84c32debb94e82">
                    <w:r>
                      <w:rPr>
                        <w:rStyle w:val="Hyperlink"/>
                      </w:rPr>
                      <w:t xml:space="preserve">Admitted patient care NMDS 2019-20</w:t>
                    </w:r>
                  </w:hyperlink>
                </w:p>
                <w:p>
                  <w:hyperlink w:history="true" r:id="R1572c92a3e764fe4">
                    <w:r>
                      <w:rPr>
                        <w:rStyle w:val="Hyperlink"/>
                      </w:rPr>
                      <w:t xml:space="preserve">Admitted patient care NMDS 2020-21</w:t>
                    </w:r>
                  </w:hyperlink>
                </w:p>
                <w:p>
                  <w:hyperlink w:history="true" r:id="R4e30b932417146e5">
                    <w:r>
                      <w:rPr>
                        <w:rStyle w:val="Hyperlink"/>
                      </w:rPr>
                      <w:t xml:space="preserve">Admitted patient care NMDS 2021-22</w:t>
                    </w:r>
                  </w:hyperlink>
                </w:p>
                <w:p>
                  <w:r>
                    <w:t xml:space="preserve"> </w:t>
                  </w:r>
                </w:p>
              </w:tc>
            </w:tr>
          </w:tbl>
          <w:p>
            <w:r>
              <w:rPr>
                <w:b/>
              </w:rPr>
              <w:t xml:space="preserve">Data Source</w:t>
            </w:r>
          </w:p>
          <w:p>
            <w:hyperlink w:history="true" r:id="R453f8a65e8b345ac">
              <w:r>
                <w:rPr>
                  <w:rStyle w:val="Hyperlink"/>
                </w:rPr>
                <w:t xml:space="preserve">National Hospital Morbidity Database (NHMD)</w:t>
              </w:r>
            </w:hyperlink>
          </w:p>
          <w:p>
            <w:r>
              <w:rPr>
                <w:b/>
              </w:rPr>
              <w:t xml:space="preserve">Guide for use</w:t>
            </w:r>
          </w:p>
          <w:p>
            <w:r>
              <w:t xml:space="preserve">Data source type: Administrative by-product data</w:t>
            </w:r>
          </w:p>
          <w:p>
            <w:hyperlink w:history="true" r:id="R85312d316ae74c2a">
              <w:r>
                <w:rPr>
                  <w:rStyle w:val="Hyperlink"/>
                </w:rPr>
                <w:t xml:space="preserve">Admitted patient care NMDS 2014-15</w:t>
              </w:r>
            </w:hyperlink>
          </w:p>
          <w:p>
            <w:hyperlink w:history="true" r:id="R1b55a9ad1c1e4fef">
              <w:r>
                <w:rPr>
                  <w:rStyle w:val="Hyperlink"/>
                </w:rPr>
                <w:t xml:space="preserve">Admitted patient care NMDS 2015-16</w:t>
              </w:r>
            </w:hyperlink>
          </w:p>
          <w:p>
            <w:hyperlink w:history="true" r:id="Rd52966f9278248e8">
              <w:r>
                <w:rPr>
                  <w:rStyle w:val="Hyperlink"/>
                </w:rPr>
                <w:t xml:space="preserve">Admitted patient care NMDS 2016-17</w:t>
              </w:r>
            </w:hyperlink>
          </w:p>
          <w:p>
            <w:hyperlink w:history="true" r:id="R50287771715845a8">
              <w:r>
                <w:rPr>
                  <w:rStyle w:val="Hyperlink"/>
                </w:rPr>
                <w:t xml:space="preserve">Admitted patient care NMDS 2017-18</w:t>
              </w:r>
            </w:hyperlink>
          </w:p>
          <w:p>
            <w:hyperlink w:history="true" r:id="R3c59a93f9ff54785">
              <w:r>
                <w:rPr>
                  <w:rStyle w:val="Hyperlink"/>
                </w:rPr>
                <w:t xml:space="preserve">Admitted patient care NMDS 2018-19</w:t>
              </w:r>
            </w:hyperlink>
          </w:p>
          <w:p>
            <w:hyperlink w:history="true" r:id="R634d1e4898574cde">
              <w:r>
                <w:rPr>
                  <w:rStyle w:val="Hyperlink"/>
                </w:rPr>
                <w:t xml:space="preserve">Admitted patient care NMDS 2019-20</w:t>
              </w:r>
            </w:hyperlink>
          </w:p>
          <w:p>
            <w:hyperlink w:history="true" r:id="R0be3a1c062eb4a26">
              <w:r>
                <w:rPr>
                  <w:rStyle w:val="Hyperlink"/>
                </w:rPr>
                <w:t xml:space="preserve">Admitted patient care NMDS 2020-21</w:t>
              </w:r>
            </w:hyperlink>
          </w:p>
          <w:p>
            <w:hyperlink w:history="true" r:id="R8b6a07729f324112">
              <w:r>
                <w:rPr>
                  <w:rStyle w:val="Hyperlink"/>
                </w:rPr>
                <w:t xml:space="preserve">Admitted patient care NMDS 2021-22</w:t>
              </w:r>
            </w:hyperlink>
          </w:p>
          <w:p>
            <w:r>
              <w:t xml:space="preserve"> </w:t>
            </w:r>
          </w:p>
          <w:p>
            <w:r>
              <w:rPr>
                <w:b/>
                <w:color w:val="000000"/>
              </w:rPr>
              <w:t xml:space="preserve">Data Element / Data Set</w:t>
            </w:r>
          </w:p>
          <w:tbl>
            <w:tblPr>
              <w:tblStyle w:val="TableGrid"/>
              <w:tblW w:w="5000" w:type="pct"/>
              <w:tblLayout w:type="autofit"/>
            </w:tblPr>
            <w:tblGrid>
              <w:gridCol/>
              <w:gridCol/>
            </w:tblGrid>
            <w:tr>
              <w:trPr/>
              <w:tc>
                <w:tcPr>
                  <w:tcW w:w="2800" w:type="pct"/>
                  <w:vAlign w:val="top"/>
                </w:tcPr>
                <w:p>
                  <w:r>
                    <w:rPr>
                      <w:rStyle w:val="row-content"/>
                      <w:b/>
                    </w:rPr>
                    <w:t xml:space="preserve">Data Element</w:t>
                  </w:r>
                </w:p>
              </w:tc>
              <w:tc>
                <w:tcPr>
                  <w:tcW w:w="2150" w:type="pct"/>
                  <w:vAlign w:val="top"/>
                </w:tcPr>
                <w:p>
                  <w:r>
                    <w:rPr>
                      <w:rStyle w:val="row-content"/>
                      <w:b/>
                    </w:rPr>
                    <w:t xml:space="preserve">NMDS / DSS</w:t>
                  </w:r>
                </w:p>
              </w:tc>
            </w:tr>
            <w:tr>
              <w:trPr/>
              <w:tc>
                <w:tcPr>
                  <w:tcW w:w="2800" w:type="pct"/>
                  <w:vAlign w:val="top"/>
                </w:tcPr>
                <w:p>
                  <w:hyperlink w:history="true" r:id="R766168e3184546a7">
                    <w:r>
                      <w:rPr>
                        <w:rStyle w:val="Hyperlink"/>
                      </w:rPr>
                      <w:t xml:space="preserve">Episode of care—principal diagnosis, code (ICD-10-AM 8th edn) ANN{.N[N]}</w:t>
                    </w:r>
                  </w:hyperlink>
                </w:p>
              </w:tc>
              <w:tc>
                <w:tcPr>
                  <w:tcW w:w="2150" w:type="pct"/>
                  <w:vAlign w:val="top"/>
                </w:tcPr>
                <w:p>
                  <w:hyperlink w:history="true" r:id="R328a4f59c2e54272">
                    <w:r>
                      <w:rPr>
                        <w:rStyle w:val="Hyperlink"/>
                      </w:rPr>
                      <w:t xml:space="preserve">Admitted patient care NMDS 2014-15</w:t>
                    </w:r>
                  </w:hyperlink>
                </w:p>
                <w:p>
                  <w:r>
                    <w:t xml:space="preserve"> </w:t>
                  </w:r>
                </w:p>
              </w:tc>
            </w:tr>
            <w:tr>
              <w:trPr/>
              <w:tc>
                <w:tcPr>
                  <w:tcW w:w="2800" w:type="pct"/>
                  <w:vAlign w:val="top"/>
                </w:tcPr>
                <w:p>
                  <w:hyperlink w:history="true" r:id="R163f9ceaeab748a8">
                    <w:r>
                      <w:rPr>
                        <w:rStyle w:val="Hyperlink"/>
                      </w:rPr>
                      <w:t xml:space="preserve">Episode of care—principal diagnosis, code (ICD-10-AM 9th edn) ANN{.N[N]}</w:t>
                    </w:r>
                  </w:hyperlink>
                </w:p>
              </w:tc>
              <w:tc>
                <w:tcPr>
                  <w:tcW w:w="2150" w:type="pct"/>
                  <w:vAlign w:val="top"/>
                </w:tcPr>
                <w:p>
                  <w:hyperlink w:history="true" r:id="R6ece9830193a4e0b">
                    <w:r>
                      <w:rPr>
                        <w:rStyle w:val="Hyperlink"/>
                      </w:rPr>
                      <w:t xml:space="preserve">Admitted patient care NMDS 2015-16</w:t>
                    </w:r>
                  </w:hyperlink>
                </w:p>
                <w:p>
                  <w:hyperlink w:history="true" r:id="R37f7cb52d5294a81">
                    <w:r>
                      <w:rPr>
                        <w:rStyle w:val="Hyperlink"/>
                      </w:rPr>
                      <w:t xml:space="preserve">Admitted patient care NMDS 2016-17</w:t>
                    </w:r>
                  </w:hyperlink>
                </w:p>
              </w:tc>
            </w:tr>
            <w:tr>
              <w:trPr/>
              <w:tc>
                <w:tcPr>
                  <w:tcW w:w="2800" w:type="pct"/>
                  <w:vAlign w:val="top"/>
                </w:tcPr>
                <w:p>
                  <w:hyperlink w:history="true" r:id="R0d6cf1ed791e4e58">
                    <w:r>
                      <w:rPr>
                        <w:rStyle w:val="Hyperlink"/>
                      </w:rPr>
                      <w:t xml:space="preserve">Episode of care—principal diagnosis, code (ICD-10-AM 10th edn) ANN{.N[N]}</w:t>
                    </w:r>
                  </w:hyperlink>
                </w:p>
              </w:tc>
              <w:tc>
                <w:tcPr>
                  <w:tcW w:w="2150" w:type="pct"/>
                  <w:vAlign w:val="top"/>
                </w:tcPr>
                <w:p>
                  <w:hyperlink w:history="true" r:id="R91a7ce4d93c741ed">
                    <w:r>
                      <w:rPr>
                        <w:rStyle w:val="Hyperlink"/>
                      </w:rPr>
                      <w:t xml:space="preserve">Admitted patient care NMDS 2017-18</w:t>
                    </w:r>
                  </w:hyperlink>
                </w:p>
              </w:tc>
            </w:tr>
            <w:tr>
              <w:trPr/>
              <w:tc>
                <w:tcPr>
                  <w:tcW w:w="2800" w:type="pct"/>
                  <w:vAlign w:val="top"/>
                </w:tcPr>
                <w:p>
                  <w:hyperlink w:history="true" r:id="R4512a26da5044285">
                    <w:r>
                      <w:rPr>
                        <w:rStyle w:val="Hyperlink"/>
                      </w:rPr>
                      <w:t xml:space="preserve">Episode of care—principal diagnosis, code (ICD-10-AM 10th edn) ANN{.N[N]}</w:t>
                    </w:r>
                  </w:hyperlink>
                </w:p>
              </w:tc>
              <w:tc>
                <w:tcPr>
                  <w:tcW w:w="2150" w:type="pct"/>
                  <w:vAlign w:val="top"/>
                </w:tcPr>
                <w:p>
                  <w:hyperlink w:history="true" r:id="R570422cfdc424361">
                    <w:r>
                      <w:rPr>
                        <w:rStyle w:val="Hyperlink"/>
                      </w:rPr>
                      <w:t xml:space="preserve">Admitted patient care NMDS 2018-19</w:t>
                    </w:r>
                  </w:hyperlink>
                </w:p>
              </w:tc>
            </w:tr>
            <w:tr>
              <w:trPr/>
              <w:tc>
                <w:tcPr>
                  <w:tcW w:w="2800" w:type="pct"/>
                  <w:vAlign w:val="top"/>
                </w:tcPr>
                <w:p>
                  <w:hyperlink w:history="true" r:id="R6b44f5baf15648b6">
                    <w:r>
                      <w:rPr>
                        <w:rStyle w:val="Hyperlink"/>
                      </w:rPr>
                      <w:t xml:space="preserve">Episode of care—principal diagnosis, code (ICD-10-AM 11th edn) ANN{.N[N]}</w:t>
                    </w:r>
                  </w:hyperlink>
                </w:p>
              </w:tc>
              <w:tc>
                <w:tcPr>
                  <w:tcW w:w="2150" w:type="pct"/>
                  <w:vAlign w:val="top"/>
                </w:tcPr>
                <w:p>
                  <w:hyperlink w:history="true" r:id="R84195d08fec94477">
                    <w:r>
                      <w:rPr>
                        <w:rStyle w:val="Hyperlink"/>
                      </w:rPr>
                      <w:t xml:space="preserve">Admitted patient care NMDS 2019-20</w:t>
                    </w:r>
                  </w:hyperlink>
                </w:p>
                <w:p>
                  <w:hyperlink w:history="true" r:id="R5eff96cef3f844ec">
                    <w:r>
                      <w:rPr>
                        <w:rStyle w:val="Hyperlink"/>
                      </w:rPr>
                      <w:t xml:space="preserve">Admitted patient care NMDS 2020-21</w:t>
                    </w:r>
                  </w:hyperlink>
                </w:p>
                <w:p>
                  <w:hyperlink w:history="true" r:id="R99208306850c4ef7">
                    <w:r>
                      <w:rPr>
                        <w:rStyle w:val="Hyperlink"/>
                      </w:rPr>
                      <w:t xml:space="preserve">Admitted patient care NMDS 2021-22</w:t>
                    </w:r>
                  </w:hyperlink>
                </w:p>
              </w:tc>
            </w:tr>
          </w:tbl>
          <w:p>
            <w:r>
              <w:rPr>
                <w:b/>
              </w:rPr>
              <w:t xml:space="preserve">Data Source</w:t>
            </w:r>
          </w:p>
          <w:p>
            <w:hyperlink w:history="true" r:id="R87dbc922f4044713">
              <w:r>
                <w:rPr>
                  <w:rStyle w:val="Hyperlink"/>
                </w:rPr>
                <w:t xml:space="preserve">National Hospital Morbidity Database (NHMD)</w:t>
              </w:r>
            </w:hyperlink>
          </w:p>
          <w:p>
            <w:r>
              <w:rPr>
                <w:b/>
              </w:rPr>
              <w:t xml:space="preserve">Guide for use</w:t>
            </w:r>
          </w:p>
          <w:p>
            <w:r>
              <w:t xml:space="preserve">Data source type: Administrative by-product data</w:t>
            </w:r>
          </w:p>
          <w:p>
            <w:hyperlink w:history="true" r:id="R1ea6264efdc74b5d">
              <w:r>
                <w:rPr>
                  <w:rStyle w:val="Hyperlink"/>
                </w:rPr>
                <w:t xml:space="preserve">Admitted patient care NMDS 2014-15</w:t>
              </w:r>
            </w:hyperlink>
          </w:p>
          <w:p>
            <w:hyperlink w:history="true" r:id="R0dfb8990e9d84975">
              <w:r>
                <w:rPr>
                  <w:rStyle w:val="Hyperlink"/>
                </w:rPr>
                <w:t xml:space="preserve">Admitted patient care NMDS 2015-16</w:t>
              </w:r>
            </w:hyperlink>
          </w:p>
          <w:p>
            <w:hyperlink w:history="true" r:id="R63f3a3944c0649df">
              <w:r>
                <w:rPr>
                  <w:rStyle w:val="Hyperlink"/>
                </w:rPr>
                <w:t xml:space="preserve">Admitted patient care NMDS 2016-17</w:t>
              </w:r>
            </w:hyperlink>
          </w:p>
          <w:p>
            <w:hyperlink w:history="true" r:id="Rc8ac77b7d7424110">
              <w:r>
                <w:rPr>
                  <w:rStyle w:val="Hyperlink"/>
                </w:rPr>
                <w:t xml:space="preserve">Admitted patient care NMDS 2017-18</w:t>
              </w:r>
            </w:hyperlink>
          </w:p>
          <w:p>
            <w:hyperlink w:history="true" r:id="Rf0387e6c9aff4cd0">
              <w:r>
                <w:rPr>
                  <w:rStyle w:val="Hyperlink"/>
                </w:rPr>
                <w:t xml:space="preserve">Admitted patient care NMDS 2018-19</w:t>
              </w:r>
            </w:hyperlink>
          </w:p>
          <w:p>
            <w:hyperlink w:history="true" r:id="R5741c93141b44348">
              <w:r>
                <w:rPr>
                  <w:rStyle w:val="Hyperlink"/>
                </w:rPr>
                <w:t xml:space="preserve">Admitted patient care NMDS 2019-20</w:t>
              </w:r>
            </w:hyperlink>
          </w:p>
          <w:p>
            <w:hyperlink w:history="true" r:id="R213d86f84f404720">
              <w:r>
                <w:rPr>
                  <w:rStyle w:val="Hyperlink"/>
                </w:rPr>
                <w:t xml:space="preserve">Admitted patient care NMDS 2020-21</w:t>
              </w:r>
            </w:hyperlink>
          </w:p>
          <w:p>
            <w:hyperlink w:history="true" r:id="R8f55a77261f94dd5">
              <w:r>
                <w:rPr>
                  <w:rStyle w:val="Hyperlink"/>
                </w:rPr>
                <w:t xml:space="preserve">Admitted patient care NMDS 2021-22</w:t>
              </w:r>
            </w:hyperlink>
          </w:p>
          <w:p>
            <w:r>
              <w:t xml:space="preserve"> </w:t>
            </w:r>
          </w:p>
          <w:p>
            <w:r>
              <w:rPr>
                <w:b/>
                <w:color w:val="000000"/>
              </w:rPr>
              <w:t xml:space="preserve">Data Element / Data Set</w:t>
            </w:r>
          </w:p>
          <w:p>
            <w:hyperlink w:history="true" r:id="R8c9fc35936a9407f">
              <w:r>
                <w:rPr>
                  <w:rStyle w:val="Hyperlink"/>
                </w:rPr>
                <w:t xml:space="preserve">Person—date of birth, DDMMYYYY</w:t>
              </w:r>
            </w:hyperlink>
          </w:p>
          <w:p>
            <w:r>
              <w:rPr>
                <w:b/>
              </w:rPr>
              <w:t xml:space="preserve">Data Source</w:t>
            </w:r>
          </w:p>
          <w:p>
            <w:hyperlink w:history="true" r:id="R395bb3d70a944f9f">
              <w:r>
                <w:rPr>
                  <w:rStyle w:val="Hyperlink"/>
                </w:rPr>
                <w:t xml:space="preserve">National Hospital Morbidity Database (NHMD)</w:t>
              </w:r>
            </w:hyperlink>
          </w:p>
          <w:p>
            <w:r>
              <w:rPr>
                <w:b/>
              </w:rPr>
              <w:t xml:space="preserve">Guide for use</w:t>
            </w:r>
          </w:p>
          <w:p>
            <w:r>
              <w:t xml:space="preserve">Data source type: Administrative by-product data</w:t>
            </w:r>
          </w:p>
          <w:p>
            <w:r>
              <w:t xml:space="preserve"> </w:t>
            </w:r>
          </w:p>
          <w:p>
            <w:r>
              <w:rPr>
                <w:b/>
                <w:color w:val="000000"/>
              </w:rPr>
              <w:t xml:space="preserve">Data Element / Data Set</w:t>
            </w:r>
          </w:p>
          <w:p>
            <w:hyperlink w:history="true" r:id="Rd4b06d6d6dc04c9c">
              <w:r>
                <w:rPr>
                  <w:rStyle w:val="Hyperlink"/>
                </w:rPr>
                <w:t xml:space="preserve">Hospital service—care type, code N[N]</w:t>
              </w:r>
            </w:hyperlink>
          </w:p>
          <w:p>
            <w:r>
              <w:rPr>
                <w:b/>
              </w:rPr>
              <w:t xml:space="preserve">Data Source</w:t>
            </w:r>
          </w:p>
          <w:p>
            <w:hyperlink w:history="true" r:id="Reda355884c454a1b">
              <w:r>
                <w:rPr>
                  <w:rStyle w:val="Hyperlink"/>
                </w:rPr>
                <w:t xml:space="preserve">National Hospital Morbidity Database (NHMD)</w:t>
              </w:r>
            </w:hyperlink>
          </w:p>
          <w:p>
            <w:r>
              <w:rPr>
                <w:b/>
              </w:rPr>
              <w:t xml:space="preserve">Guide for use</w:t>
            </w:r>
          </w:p>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 15 years and over as at 30 June 2014, 30 June 2015, 30 June 2016, 30 June 2017, 30 June 2018, 30 June 2019, 30 June 2020, 30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2f8da06a02248e3">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e8e19ccb4604f01">
              <w:r>
                <w:rPr>
                  <w:rStyle w:val="Hyperlink"/>
                </w:rPr>
                <w:t xml:space="preserve">Person—estimated resident population of Australia, total people N[N(7)]</w:t>
              </w:r>
            </w:hyperlink>
          </w:p>
          <w:p>
            <w:r>
              <w:rPr>
                <w:rStyle w:val="row-content"/>
                <w:b/>
              </w:rPr>
              <w:t xml:space="preserve">Data Source</w:t>
            </w:r>
          </w:p>
          <w:p>
            <w:hyperlink w:history="true" r:id="Ra47aae0dd8af492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(ASGC Remoteness structure 2016)</w:t>
            </w:r>
          </w:p>
          <w:p>
            <w:pPr>
              <w:spacing w:after="160"/>
            </w:pPr>
            <w:r>
              <w:rPr>
                <w:rStyle w:val="row-content-rich-text"/>
              </w:rPr>
              <w:t xml:space="preserve">Socio-Economic Indexes for Areas (SEIFA 2016) Index of Relative Socioeconomic Disadvantage (IRSD 2916)</w:t>
            </w:r>
          </w:p>
          <w:p>
            <w:pPr>
              <w:pStyle w:val="ListParagraph"/>
              <w:numPr>
                <w:ilvl w:val="0"/>
                <w:numId w:val="3"/>
              </w:numPr>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Aboriginal and Torres Strait Islander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0a1447c6fb45f8">
              <w:r>
                <w:rPr>
                  <w:rStyle w:val="Hyperlink"/>
                </w:rPr>
                <w:t xml:space="preserve">Person—area of usual residence, statistical area level 2 (SA2) code (ASGS 2016) N(9)</w:t>
              </w:r>
            </w:hyperlink>
          </w:p>
          <w:p>
            <w:r>
              <w:rPr>
                <w:rStyle w:val="row-content"/>
                <w:b/>
              </w:rPr>
              <w:t xml:space="preserve">Data Source</w:t>
            </w:r>
          </w:p>
          <w:p>
            <w:hyperlink w:history="true" r:id="R4fe0cedd5dac4b52">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NB. </w:t>
            </w:r>
            <w:hyperlink w:history="true" r:id="R017c4ea8ea6b4f7b">
              <w:r>
                <w:rPr>
                  <w:rStyle w:val="Hyperlink"/>
                </w:rPr>
                <w:t xml:space="preserve">ABS Indigenous experimental estimates and projections, QS </w:t>
              </w:r>
            </w:hyperlink>
            <w:r>
              <w:rPr>
                <w:rStyle w:val="row-content-rich-text"/>
              </w:rPr>
              <w:t xml:space="preserve">is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cf824cf3b7430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598caa009c4cf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5e2ec9abed4dc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7f8d0a192124a6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w:t>
            </w:r>
          </w:p>
          <w:p>
            <w:pPr>
              <w:spacing w:after="160"/>
            </w:pPr>
            <w:r>
              <w:rPr>
                <w:rStyle w:val="row-content-rich-text"/>
              </w:rPr>
              <w:t xml:space="preserve">The lack of specific statistical requirements provides the SA3s with considerable flexibility in terms of population variability and this allows the definition of meaningful regional areas to take precedence over population criteria. As a result, there are a number of SA3s with populations above 130,000 or below 30,000 on 30 June 2016. For further information see the ABS publication, Australian Statistical Geography Standard (ASGS): Volume 1 – Main Structure and Greater Capital City Statistical Areas, July 2016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 Time Series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fd464317d4c23">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ca32843110324b9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r>
        <w:br/>
      </w:r>
    </w:p>
    <w:sectPr>
      <w:footerReference xmlns:r="http://schemas.openxmlformats.org/officeDocument/2006/relationships" w:type="default" r:id="R73f8ee77f3cf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781186</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ea279c463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8ee77f3cf4921" /><Relationship Type="http://schemas.openxmlformats.org/officeDocument/2006/relationships/header" Target="/word/header1.xml" Id="Re24e4966e1eb4455" /><Relationship Type="http://schemas.openxmlformats.org/officeDocument/2006/relationships/settings" Target="/word/settings.xml" Id="Rc4ef72ffcdac4c38" /><Relationship Type="http://schemas.openxmlformats.org/officeDocument/2006/relationships/styles" Target="/word/styles.xml" Id="R0e598c065f2848e6" /><Relationship Type="http://schemas.openxmlformats.org/officeDocument/2006/relationships/numbering" Target="/word/numbering.xml" Id="R4738752d2c71401d" /><Relationship Type="http://schemas.openxmlformats.org/officeDocument/2006/relationships/hyperlink" Target="https://meteor.aihw.gov.au/RegistrationAuthority/18" TargetMode="External" Id="R6208e6a7402e4240" /><Relationship Type="http://schemas.openxmlformats.org/officeDocument/2006/relationships/hyperlink" Target="https://meteor.aihw.gov.au/content/756164" TargetMode="External" Id="R1b5fb88a1a1b4e9a" /><Relationship Type="http://schemas.openxmlformats.org/officeDocument/2006/relationships/hyperlink" Target="https://meteor.aihw.gov.au/RegistrationAuthority/18" TargetMode="External" Id="Rf915b5738d3e405a" /><Relationship Type="http://schemas.openxmlformats.org/officeDocument/2006/relationships/hyperlink" Target="https://meteor.aihw.gov.au/content/449216" TargetMode="External" Id="R85718943c0814121" /><Relationship Type="http://schemas.openxmlformats.org/officeDocument/2006/relationships/hyperlink" Target="https://meteor.aihw.gov.au/RegistrationAuthority/12" TargetMode="External" Id="R3a0e1b3ecd5a4ae3" /><Relationship Type="http://schemas.openxmlformats.org/officeDocument/2006/relationships/hyperlink" Target="https://meteor.aihw.gov.au/content/327276" TargetMode="External" Id="R643aefb932514426" /><Relationship Type="http://schemas.openxmlformats.org/officeDocument/2006/relationships/hyperlink" Target="https://www.safetyandquality.gov.au/womens-health-focus-report#data-resources" TargetMode="External" Id="R5e1c8c3ab377427a" /><Relationship Type="http://schemas.openxmlformats.org/officeDocument/2006/relationships/hyperlink" Target="https://meteor.aihw.gov.au/content/514271" TargetMode="External" Id="R42d9f7bb1f694a79" /><Relationship Type="http://schemas.openxmlformats.org/officeDocument/2006/relationships/hyperlink" Target="https://meteor.aihw.gov.au/content/535047" TargetMode="External" Id="R197cd1c213044d28" /><Relationship Type="http://schemas.openxmlformats.org/officeDocument/2006/relationships/hyperlink" Target="https://meteor.aihw.gov.au/content/588981" TargetMode="External" Id="R3b2e5a2086af4025" /><Relationship Type="http://schemas.openxmlformats.org/officeDocument/2006/relationships/hyperlink" Target="https://meteor.aihw.gov.au/content/588909" TargetMode="External" Id="R49a0356c525b403f" /><Relationship Type="http://schemas.openxmlformats.org/officeDocument/2006/relationships/hyperlink" Target="https://meteor.aihw.gov.au/content/612171" TargetMode="External" Id="R3ea21c19b3584b91" /><Relationship Type="http://schemas.openxmlformats.org/officeDocument/2006/relationships/hyperlink" Target="https://meteor.aihw.gov.au/content/641014" TargetMode="External" Id="R25b0e57b86ba4ebe" /><Relationship Type="http://schemas.openxmlformats.org/officeDocument/2006/relationships/hyperlink" Target="https://meteor.aihw.gov.au/content/641349" TargetMode="External" Id="Rd6a10e24fba44d76" /><Relationship Type="http://schemas.openxmlformats.org/officeDocument/2006/relationships/hyperlink" Target="https://meteor.aihw.gov.au/content/680973" TargetMode="External" Id="R5b2160dab7f94707" /><Relationship Type="http://schemas.openxmlformats.org/officeDocument/2006/relationships/hyperlink" Target="https://meteor.aihw.gov.au/content/676382" TargetMode="External" Id="R35f394049e194ddd" /><Relationship Type="http://schemas.openxmlformats.org/officeDocument/2006/relationships/hyperlink" Target="https://meteor.aihw.gov.au/content/699606" TargetMode="External" Id="Rb7ee8dfa5c55473b" /><Relationship Type="http://schemas.openxmlformats.org/officeDocument/2006/relationships/hyperlink" Target="https://meteor.aihw.gov.au/content/699728" TargetMode="External" Id="R15b185d0be8340c0" /><Relationship Type="http://schemas.openxmlformats.org/officeDocument/2006/relationships/hyperlink" Target="https://meteor.aihw.gov.au/content/713850" TargetMode="External" Id="R913e03f16bec4206" /><Relationship Type="http://schemas.openxmlformats.org/officeDocument/2006/relationships/hyperlink" Target="https://meteor.aihw.gov.au/content/728439" TargetMode="External" Id="R510e9d2a37fb498b" /><Relationship Type="http://schemas.openxmlformats.org/officeDocument/2006/relationships/hyperlink" Target="https://meteor.aihw.gov.au/content/514040" TargetMode="External" Id="R61cf7e1f96d541ca" /><Relationship Type="http://schemas.openxmlformats.org/officeDocument/2006/relationships/hyperlink" Target="https://meteor.aihw.gov.au/content/535047" TargetMode="External" Id="R71494166d2604554" /><Relationship Type="http://schemas.openxmlformats.org/officeDocument/2006/relationships/hyperlink" Target="https://meteor.aihw.gov.au/content/589101" TargetMode="External" Id="R849bba8935264088" /><Relationship Type="http://schemas.openxmlformats.org/officeDocument/2006/relationships/hyperlink" Target="https://meteor.aihw.gov.au/content/588909" TargetMode="External" Id="R2e492f8712944b74" /><Relationship Type="http://schemas.openxmlformats.org/officeDocument/2006/relationships/hyperlink" Target="https://meteor.aihw.gov.au/content/612171" TargetMode="External" Id="Rcf22cb233ab04a40" /><Relationship Type="http://schemas.openxmlformats.org/officeDocument/2006/relationships/hyperlink" Target="https://meteor.aihw.gov.au/content/641379" TargetMode="External" Id="R2a450f6dcb7f42df" /><Relationship Type="http://schemas.openxmlformats.org/officeDocument/2006/relationships/hyperlink" Target="https://meteor.aihw.gov.au/content/641349" TargetMode="External" Id="R838e236be4294f3a" /><Relationship Type="http://schemas.openxmlformats.org/officeDocument/2006/relationships/hyperlink" Target="https://meteor.aihw.gov.au/content/676382" TargetMode="External" Id="R46a29e3d4e6f4d92" /><Relationship Type="http://schemas.openxmlformats.org/officeDocument/2006/relationships/hyperlink" Target="https://meteor.aihw.gov.au/content/699716" TargetMode="External" Id="R4f2689f7782749d1" /><Relationship Type="http://schemas.openxmlformats.org/officeDocument/2006/relationships/hyperlink" Target="https://meteor.aihw.gov.au/content/699728" TargetMode="External" Id="R8d84c32debb94e82" /><Relationship Type="http://schemas.openxmlformats.org/officeDocument/2006/relationships/hyperlink" Target="https://meteor.aihw.gov.au/content/713850" TargetMode="External" Id="R1572c92a3e764fe4" /><Relationship Type="http://schemas.openxmlformats.org/officeDocument/2006/relationships/hyperlink" Target="https://meteor.aihw.gov.au/content/728439" TargetMode="External" Id="R4e30b932417146e5" /><Relationship Type="http://schemas.openxmlformats.org/officeDocument/2006/relationships/hyperlink" Target="https://meteor.aihw.gov.au/content/394352" TargetMode="External" Id="R453f8a65e8b345ac" /><Relationship Type="http://schemas.openxmlformats.org/officeDocument/2006/relationships/hyperlink" Target="https://meteor.aihw.gov.au/content/535047" TargetMode="External" Id="R85312d316ae74c2a" /><Relationship Type="http://schemas.openxmlformats.org/officeDocument/2006/relationships/hyperlink" Target="https://meteor.aihw.gov.au/content/588909" TargetMode="External" Id="R1b55a9ad1c1e4fef" /><Relationship Type="http://schemas.openxmlformats.org/officeDocument/2006/relationships/hyperlink" Target="https://meteor.aihw.gov.au/content/612171" TargetMode="External" Id="Rd52966f9278248e8" /><Relationship Type="http://schemas.openxmlformats.org/officeDocument/2006/relationships/hyperlink" Target="https://meteor.aihw.gov.au/content/641349" TargetMode="External" Id="R50287771715845a8" /><Relationship Type="http://schemas.openxmlformats.org/officeDocument/2006/relationships/hyperlink" Target="https://meteor.aihw.gov.au/content/676382" TargetMode="External" Id="R3c59a93f9ff54785" /><Relationship Type="http://schemas.openxmlformats.org/officeDocument/2006/relationships/hyperlink" Target="https://meteor.aihw.gov.au/content/699728" TargetMode="External" Id="R634d1e4898574cde" /><Relationship Type="http://schemas.openxmlformats.org/officeDocument/2006/relationships/hyperlink" Target="https://meteor.aihw.gov.au/content/713850" TargetMode="External" Id="R0be3a1c062eb4a26" /><Relationship Type="http://schemas.openxmlformats.org/officeDocument/2006/relationships/hyperlink" Target="https://meteor.aihw.gov.au/content/728439" TargetMode="External" Id="R8b6a07729f324112" /><Relationship Type="http://schemas.openxmlformats.org/officeDocument/2006/relationships/hyperlink" Target="https://meteor.aihw.gov.au/content/514273" TargetMode="External" Id="R766168e3184546a7" /><Relationship Type="http://schemas.openxmlformats.org/officeDocument/2006/relationships/hyperlink" Target="https://meteor.aihw.gov.au/content/535047" TargetMode="External" Id="R328a4f59c2e54272" /><Relationship Type="http://schemas.openxmlformats.org/officeDocument/2006/relationships/hyperlink" Target="https://meteor.aihw.gov.au/content/588987" TargetMode="External" Id="R163f9ceaeab748a8" /><Relationship Type="http://schemas.openxmlformats.org/officeDocument/2006/relationships/hyperlink" Target="https://meteor.aihw.gov.au/content/588909" TargetMode="External" Id="R6ece9830193a4e0b" /><Relationship Type="http://schemas.openxmlformats.org/officeDocument/2006/relationships/hyperlink" Target="https://meteor.aihw.gov.au/content/612171" TargetMode="External" Id="R37f7cb52d5294a81" /><Relationship Type="http://schemas.openxmlformats.org/officeDocument/2006/relationships/hyperlink" Target="https://meteor.aihw.gov.au/content/640978" TargetMode="External" Id="R0d6cf1ed791e4e58" /><Relationship Type="http://schemas.openxmlformats.org/officeDocument/2006/relationships/hyperlink" Target="https://meteor.aihw.gov.au/content/641349" TargetMode="External" Id="R91a7ce4d93c741ed" /><Relationship Type="http://schemas.openxmlformats.org/officeDocument/2006/relationships/hyperlink" Target="https://meteor.aihw.gov.au/content/680976" TargetMode="External" Id="R4512a26da5044285" /><Relationship Type="http://schemas.openxmlformats.org/officeDocument/2006/relationships/hyperlink" Target="https://meteor.aihw.gov.au/content/676382" TargetMode="External" Id="R570422cfdc424361" /><Relationship Type="http://schemas.openxmlformats.org/officeDocument/2006/relationships/hyperlink" Target="https://meteor.aihw.gov.au/content/699609" TargetMode="External" Id="R6b44f5baf15648b6" /><Relationship Type="http://schemas.openxmlformats.org/officeDocument/2006/relationships/hyperlink" Target="https://meteor.aihw.gov.au/content/699728" TargetMode="External" Id="R84195d08fec94477" /><Relationship Type="http://schemas.openxmlformats.org/officeDocument/2006/relationships/hyperlink" Target="https://meteor.aihw.gov.au/content/713850" TargetMode="External" Id="R5eff96cef3f844ec" /><Relationship Type="http://schemas.openxmlformats.org/officeDocument/2006/relationships/hyperlink" Target="https://meteor.aihw.gov.au/content/728439" TargetMode="External" Id="R99208306850c4ef7" /><Relationship Type="http://schemas.openxmlformats.org/officeDocument/2006/relationships/hyperlink" Target="https://meteor.aihw.gov.au/content/394352" TargetMode="External" Id="R87dbc922f4044713" /><Relationship Type="http://schemas.openxmlformats.org/officeDocument/2006/relationships/hyperlink" Target="https://meteor.aihw.gov.au/content/535047" TargetMode="External" Id="R1ea6264efdc74b5d" /><Relationship Type="http://schemas.openxmlformats.org/officeDocument/2006/relationships/hyperlink" Target="https://meteor.aihw.gov.au/content/588909" TargetMode="External" Id="R0dfb8990e9d84975" /><Relationship Type="http://schemas.openxmlformats.org/officeDocument/2006/relationships/hyperlink" Target="https://meteor.aihw.gov.au/content/612171" TargetMode="External" Id="R63f3a3944c0649df" /><Relationship Type="http://schemas.openxmlformats.org/officeDocument/2006/relationships/hyperlink" Target="https://meteor.aihw.gov.au/content/641349" TargetMode="External" Id="Rc8ac77b7d7424110" /><Relationship Type="http://schemas.openxmlformats.org/officeDocument/2006/relationships/hyperlink" Target="https://meteor.aihw.gov.au/content/676382" TargetMode="External" Id="Rf0387e6c9aff4cd0" /><Relationship Type="http://schemas.openxmlformats.org/officeDocument/2006/relationships/hyperlink" Target="https://meteor.aihw.gov.au/content/699728" TargetMode="External" Id="R5741c93141b44348" /><Relationship Type="http://schemas.openxmlformats.org/officeDocument/2006/relationships/hyperlink" Target="https://meteor.aihw.gov.au/content/713850" TargetMode="External" Id="R213d86f84f404720" /><Relationship Type="http://schemas.openxmlformats.org/officeDocument/2006/relationships/hyperlink" Target="https://meteor.aihw.gov.au/content/728439" TargetMode="External" Id="R8f55a77261f94dd5" /><Relationship Type="http://schemas.openxmlformats.org/officeDocument/2006/relationships/hyperlink" Target="https://meteor.aihw.gov.au/content/287007" TargetMode="External" Id="R8c9fc35936a9407f" /><Relationship Type="http://schemas.openxmlformats.org/officeDocument/2006/relationships/hyperlink" Target="https://meteor.aihw.gov.au/content/394352" TargetMode="External" Id="R395bb3d70a944f9f" /><Relationship Type="http://schemas.openxmlformats.org/officeDocument/2006/relationships/hyperlink" Target="https://meteor.aihw.gov.au/content/711010" TargetMode="External" Id="Rd4b06d6d6dc04c9c" /><Relationship Type="http://schemas.openxmlformats.org/officeDocument/2006/relationships/hyperlink" Target="https://meteor.aihw.gov.au/content/394352" TargetMode="External" Id="Reda355884c454a1b" /><Relationship Type="http://schemas.openxmlformats.org/officeDocument/2006/relationships/hyperlink" Target="https://meteor.aihw.gov.au/content/719790" TargetMode="External" Id="R12f8da06a02248e3" /><Relationship Type="http://schemas.openxmlformats.org/officeDocument/2006/relationships/hyperlink" Target="https://meteor.aihw.gov.au/content/388656" TargetMode="External" Id="Rfe8e19ccb4604f01" /><Relationship Type="http://schemas.openxmlformats.org/officeDocument/2006/relationships/hyperlink" Target="https://meteor.aihw.gov.au/content/393625" TargetMode="External" Id="Ra47aae0dd8af4925" /><Relationship Type="http://schemas.openxmlformats.org/officeDocument/2006/relationships/hyperlink" Target="https://meteor.aihw.gov.au/content/659725" TargetMode="External" Id="R610a1447c6fb45f8" /><Relationship Type="http://schemas.openxmlformats.org/officeDocument/2006/relationships/hyperlink" Target="https://meteor.aihw.gov.au/content/394352" TargetMode="External" Id="R4fe0cedd5dac4b52" /><Relationship Type="http://schemas.openxmlformats.org/officeDocument/2006/relationships/hyperlink" Target="https://meteor.aihw.gov.au/content/449223" TargetMode="External" Id="R017c4ea8ea6b4f7b" /><Relationship Type="http://schemas.openxmlformats.org/officeDocument/2006/relationships/hyperlink" Target="https://meteor.aihw.gov.au/content/719790" TargetMode="External" Id="Rbdcf824cf3b74308" /><Relationship Type="http://schemas.openxmlformats.org/officeDocument/2006/relationships/hyperlink" Target="https://meteor.aihw.gov.au/content/394352" TargetMode="External" Id="Ra4598caa009c4cf4" /><Relationship Type="http://schemas.openxmlformats.org/officeDocument/2006/relationships/hyperlink" Target="https://meteor.aihw.gov.au/content/393625" TargetMode="External" Id="Rb15e2ec9abed4dc7" /><Relationship Type="http://schemas.openxmlformats.org/officeDocument/2006/relationships/hyperlink" Target="https://meteor.aihw.gov.au/content/449216" TargetMode="External" Id="Rd7f8d0a192124a67" /><Relationship Type="http://schemas.openxmlformats.org/officeDocument/2006/relationships/hyperlink" Target="https://meteor.aihw.gov.au/content/638956" TargetMode="External" Id="Rc66fd464317d4c23" /><Relationship Type="http://schemas.openxmlformats.org/officeDocument/2006/relationships/hyperlink" Target="https://meteor.aihw.gov.au/RegistrationAuthority/18" TargetMode="External" Id="Rca32843110324b91" /></Relationships>
</file>

<file path=word/_rels/header1.xml.rels>&#65279;<?xml version="1.0" encoding="utf-8"?><Relationships xmlns="http://schemas.openxmlformats.org/package/2006/relationships"><Relationship Type="http://schemas.openxmlformats.org/officeDocument/2006/relationships/image" Target="/media/image.png" Id="R732ea279c4634e73" /></Relationships>
</file>