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7301fb7c74dbc"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8b-Proportion of patients with a hip fracture who returned to live in a private residence within 120 days following surgery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8b-Proportion of patients with a hip fracture who returned to live in a private residence within 120 days following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8b-Proportion of patients with a hip fracture who returned to live in a private residence within 120 days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d93bfc58c4392">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returned to live in a private residence within 120 days following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141ebcbc4b4433">
              <w:r>
                <w:rPr>
                  <w:rStyle w:val="Hyperlink"/>
                </w:rPr>
                <w:t xml:space="preserve">Hip Fracture Clinical Care Standard 2023</w:t>
              </w:r>
            </w:hyperlink>
          </w:p>
          <w:p>
            <w:pPr>
              <w:spacing w:before="0" w:after="0"/>
            </w:pPr>
            <w:r>
              <w:rPr>
                <w:rStyle w:val="row-content"/>
                <w:color w:val="244061"/>
              </w:rPr>
              <w:t xml:space="preserve">       </w:t>
            </w:r>
            <w:hyperlink w:history="true" r:id="Rab44c5f1874c4f58">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residence includes: a private home, community group home, boarding house and a unit in a retirement village. It excludes residential aged care facilities/rest homes, rehabilitation units (short term or other) and any other institutions.</w:t>
            </w:r>
          </w:p>
          <w:p>
            <w:pPr>
              <w:spacing w:after="160"/>
            </w:pPr>
            <w:r>
              <w:rPr>
                <w:rStyle w:val="row-content-rich-text"/>
              </w:rPr>
              <w:t xml:space="preserve">Both the numerator and the denominator only include patients who had hip fracture surgery who were followed up at 120 days. Exclude patients who:</w:t>
            </w:r>
          </w:p>
          <w:p>
            <w:pPr>
              <w:pStyle w:val="ListParagraph"/>
              <w:numPr>
                <w:ilvl w:val="0"/>
                <w:numId w:val="2"/>
              </w:numPr>
            </w:pPr>
            <w:r>
              <w:rPr>
                <w:rStyle w:val="row-content-rich-text"/>
              </w:rPr>
              <w:t xml:space="preserve">Were reported at admission as not residing within a private residence or their place of residence was not recorded or recorded as ‘Not known’.</w:t>
            </w:r>
          </w:p>
          <w:p>
            <w:pPr>
              <w:pStyle w:val="ListParagraph"/>
              <w:numPr>
                <w:ilvl w:val="0"/>
                <w:numId w:val="2"/>
              </w:numPr>
            </w:pPr>
            <w:r>
              <w:rPr>
                <w:rStyle w:val="row-content-rich-text"/>
              </w:rPr>
              <w:t xml:space="preserve">Died during the hip fracture admission (i.e. where </w:t>
            </w:r>
            <w:hyperlink w:history="true" r:id="Raca5db49adce45ae">
              <w:r>
                <w:rPr>
                  <w:rStyle w:val="Hyperlink"/>
                </w:rPr>
                <w:t xml:space="preserve">Episode of admitted patient care—separation mode, code N</w:t>
              </w:r>
            </w:hyperlink>
            <w:r>
              <w:rPr>
                <w:rStyle w:val="row-content-rich-text"/>
              </w:rPr>
              <w:t xml:space="preserve"> = 8 Died) or were deceased at the 120-day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had hip fracture surgery living in a private residence prior to their hip fracture who returned to private residence within 120 days following their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had hip fracture surgery living in a private residence prior to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2022), the variables </w:t>
            </w:r>
            <w:r>
              <w:rPr>
                <w:rStyle w:val="row-content-rich-text"/>
                <w:i/>
              </w:rPr>
              <w:t xml:space="preserve">Usual place of residence </w:t>
            </w:r>
            <w:r>
              <w:rPr>
                <w:rStyle w:val="row-content-rich-text"/>
              </w:rPr>
              <w:t xml:space="preserve">and</w:t>
            </w:r>
            <w:r>
              <w:rPr>
                <w:rStyle w:val="row-content-rich-text"/>
                <w:i/>
              </w:rPr>
              <w:t xml:space="preserve"> </w:t>
            </w:r>
            <w:r>
              <w:rPr>
                <w:rStyle w:val="row-content-rich-text"/>
                <w:i/>
              </w:rPr>
              <w:t xml:space="preserve">Place of residence at 120-day follow-up</w:t>
            </w:r>
            <w:r>
              <w:rPr>
                <w:rStyle w:val="row-content-rich-text"/>
              </w:rPr>
              <w:t xml:space="preserve"> can be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Australian and New Zealand Hip Fracture Registry. Data Dictionary Version 15. ANZHFR; 2022.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840ee9902c4dff">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ca587beab7004c4e">
              <w:r>
                <w:rPr>
                  <w:rStyle w:val="Hyperlink"/>
                  <w:color w:val="244061"/>
                </w:rPr>
                <w:t xml:space="preserve">Australian Commission on Safety and Quality in Health Care</w:t>
              </w:r>
            </w:hyperlink>
            <w:r>
              <w:rPr>
                <w:rStyle w:val="row-content"/>
                <w:color w:val="244061"/>
              </w:rPr>
              <w:t xml:space="preserve">, Standard 15/05/2018</w:t>
            </w:r>
          </w:p>
          <w:p>
            <w:r>
              <w:br/>
            </w:r>
          </w:p>
        </w:tc>
      </w:tr>
    </w:tbl>
    <w:p>
      <w:r>
        <w:br/>
      </w:r>
    </w:p>
    <w:sectPr>
      <w:footerReference xmlns:r="http://schemas.openxmlformats.org/officeDocument/2006/relationships" w:type="default" r:id="Rd4af77634a13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780971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31167a82a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f77634a134858" /><Relationship Type="http://schemas.openxmlformats.org/officeDocument/2006/relationships/header" Target="/word/header1.xml" Id="R81aa9d04bce14aa3" /><Relationship Type="http://schemas.openxmlformats.org/officeDocument/2006/relationships/settings" Target="/word/settings.xml" Id="R510050d518e849ce" /><Relationship Type="http://schemas.openxmlformats.org/officeDocument/2006/relationships/styles" Target="/word/styles.xml" Id="R0cef8200183e4db0" /><Relationship Type="http://schemas.openxmlformats.org/officeDocument/2006/relationships/hyperlink" Target="https://meteor.aihw.gov.au/RegistrationAuthority/18" TargetMode="External" Id="R1e7d93bfc58c4392" /><Relationship Type="http://schemas.openxmlformats.org/officeDocument/2006/relationships/hyperlink" Target="https://meteor.aihw.gov.au/content/780812" TargetMode="External" Id="R88141ebcbc4b4433" /><Relationship Type="http://schemas.openxmlformats.org/officeDocument/2006/relationships/hyperlink" Target="https://meteor.aihw.gov.au/RegistrationAuthority/18" TargetMode="External" Id="Rab44c5f1874c4f58" /><Relationship Type="http://schemas.openxmlformats.org/officeDocument/2006/relationships/numbering" Target="/word/numbering.xml" Id="Rc5e5439aec304326" /><Relationship Type="http://schemas.openxmlformats.org/officeDocument/2006/relationships/hyperlink" Target="https://meteor.aihw.gov.au/content/270094" TargetMode="External" Id="Raca5db49adce45ae" /><Relationship Type="http://schemas.openxmlformats.org/officeDocument/2006/relationships/hyperlink" Target="https://meteor.aihw.gov.au/content/696393" TargetMode="External" Id="R0d840ee9902c4dff" /><Relationship Type="http://schemas.openxmlformats.org/officeDocument/2006/relationships/hyperlink" Target="https://meteor.aihw.gov.au/RegistrationAuthority/18" TargetMode="External" Id="Rca587beab7004c4e" /></Relationships>
</file>

<file path=word/_rels/header1.xml.rels>&#65279;<?xml version="1.0" encoding="utf-8"?><Relationships xmlns="http://schemas.openxmlformats.org/package/2006/relationships"><Relationship Type="http://schemas.openxmlformats.org/officeDocument/2006/relationships/image" Target="/media/image.png" Id="R9c131167a82a4a82" /></Relationships>
</file>