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5087fa24df54217" /></Relationships>
</file>

<file path=word/document.xml><?xml version="1.0" encoding="utf-8"?>
<w:document xmlns:r="http://schemas.openxmlformats.org/officeDocument/2006/relationships" xmlns:w="http://schemas.openxmlformats.org/wordprocessingml/2006/main">
  <w:body>
    <w:p>
      <w:pPr>
        <w:pStyle w:val="Title"/>
      </w:pPr>
      <w:r>
        <w:t>Hip Fracture Clinical Care Standard: 8a-Proportion of patients with a hip fracture who returned to pre-fracture walking ability within 120 days following surgery </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Hip Fracture Clinical Care Standard: 8a-Proportion of patients with a hip fracture who returned to pre-fracture walking ability within 120 days following surgery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8a-Proportion of patients with a hip fracture who returned to pre-fracture walking ability within 120 days following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780961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4447036903d4931">
              <w:r>
                <w:rPr>
                  <w:rStyle w:val="Hyperlink"/>
                  <w:color w:val="244061"/>
                </w:rPr>
                <w:t xml:space="preserve">Australian Commission on Safety and Quality in Health Care</w:t>
              </w:r>
            </w:hyperlink>
            <w:r>
              <w:rPr>
                <w:rStyle w:val="row-content"/>
                <w:color w:val="244061"/>
              </w:rPr>
              <w:t xml:space="preserve">, Standard 10/09/2023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patients with a hip fracture who returned to pre-fracture walking ability within 120 days following hip fracture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0530e048f91648f3">
              <w:r>
                <w:rPr>
                  <w:rStyle w:val="Hyperlink"/>
                </w:rPr>
                <w:t xml:space="preserve">Hip Fracture Clinical Care Standard 2023</w:t>
              </w:r>
            </w:hyperlink>
          </w:p>
          <w:p>
            <w:pPr>
              <w:pStyle w:val="registration-status"/>
              <w:spacing w:before="0" w:after="0"/>
            </w:pPr>
            <w:hyperlink w:history="true" r:id="Re3980d8ed7c545c0">
              <w:r>
                <w:rPr>
                  <w:rStyle w:val="Hyperlink"/>
                  <w:color w:val="244061"/>
                </w:rPr>
                <w:t xml:space="preserve">Australian Commission on Safety and Quality in Health Care</w:t>
              </w:r>
            </w:hyperlink>
            <w:r>
              <w:rPr>
                <w:rStyle w:val="row-content"/>
                <w:color w:val="244061"/>
              </w:rPr>
              <w:t xml:space="preserve">, Standard 10/09/2023</w:t>
            </w:r>
          </w:p>
          <w:p>
            <w:r>
              <w:br/>
            </w:r>
          </w:p>
        </w:tc>
      </w:tr>
    </w:tbl>
    <w:p>
      <w:pPr>
        <w:pStyle w:val="Caption"/>
      </w:pPr>
      <w:r>
        <w:fldChar w:fldCharType="begin"/>
      </w:r>
      <w:r>
        <w:instrText xml:space="preserve"> SEQ TABLE \* ARABIC </w:instrText>
      </w:r>
      <w:r>
        <w:fldChar w:fldCharType="end"/>
      </w:r>
      <w:r>
        <w:rPr>
          <w:rStyle w:val="row-content-rich-text"/>
          <w:b/>
        </w:rPr>
        <w:t xml:space="preserve">Matches/ improvements in walking ability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50 years and older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To be included in the numerator, the patient’s walking ability following hip fracture surgery matches or improves at 120 days follow-up. The table below defines matches/improvements, comparing pre-admission walking ability with walking ability at 120 days following hip fracture surgery.</w:t>
            </w:r>
          </w:p>
          <w:tbl>
            <w:tblPr>
              <w:tblStyle w:val="TableGrid"/>
              <w:tblW w:w="5000" w:type="pct"/>
              <w:tblLayout w:type="autofit"/>
            </w:tblPr>
            <w:tblGrid>
              <w:gridCol/>
              <w:gridCol/>
            </w:tblGrid>
            <w:tr>
              <w:trPr/>
              <w:tc>
                <w:tcPr>
                  <w:tcW w:w="1800" w:type="pct"/>
                  <w:vAlign w:val="top"/>
                </w:tcPr>
                <w:p>
                  <w:pPr/>
                  <w:r>
                    <w:rPr>
                      <w:rStyle w:val="row-content-rich-text"/>
                    </w:rPr>
                    <w:t xml:space="preserve">Pre-admission walking ability</w:t>
                  </w:r>
                </w:p>
              </w:tc>
              <w:tc>
                <w:tcPr>
                  <w:tcW w:w="3150" w:type="pct"/>
                  <w:vAlign w:val="top"/>
                </w:tcPr>
                <w:p>
                  <w:pPr/>
                  <w:r>
                    <w:rPr>
                      <w:rStyle w:val="row-content-rich-text"/>
                    </w:rPr>
                    <w:t xml:space="preserve">Walking ability at 120 days post-surgery</w:t>
                  </w:r>
                </w:p>
              </w:tc>
            </w:tr>
            <w:tr>
              <w:trPr/>
              <w:tc>
                <w:tcPr>
                  <w:tcW w:w="1800" w:type="pct"/>
                  <w:vAlign w:val="top"/>
                </w:tcPr>
                <w:p>
                  <w:pPr/>
                  <w:r>
                    <w:rPr>
                      <w:rStyle w:val="row-content-rich-text"/>
                    </w:rPr>
                    <w:t xml:space="preserve">Usually walks without walking aids</w:t>
                  </w:r>
                </w:p>
              </w:tc>
              <w:tc>
                <w:tcPr>
                  <w:tcW w:w="3150" w:type="pct"/>
                  <w:vAlign w:val="top"/>
                </w:tcPr>
                <w:p>
                  <w:r>
                    <w:t xml:space="preserve">Usually walks without walking aids</w:t>
                  </w:r>
                </w:p>
              </w:tc>
            </w:tr>
            <w:tr>
              <w:trPr/>
              <w:tc>
                <w:tcPr>
                  <w:tcW w:w="1800" w:type="pct"/>
                  <w:vAlign w:val="top"/>
                </w:tcPr>
                <w:p>
                  <w:r>
                    <w:t xml:space="preserve">Usually walks with either a stick or crutch</w:t>
                  </w:r>
                </w:p>
              </w:tc>
              <w:tc>
                <w:tcPr>
                  <w:tcW w:w="3150" w:type="pct"/>
                  <w:vAlign w:val="top"/>
                </w:tcPr>
                <w:p>
                  <w:r>
                    <w:t xml:space="preserve">Usually walks without walking aids </w:t>
                  </w:r>
                  <w:r>
                    <w:rPr>
                      <w:b/>
                    </w:rPr>
                    <w:t xml:space="preserve">or</w:t>
                  </w:r>
                  <w:r>
                    <w:t xml:space="preserve"> Usually walks with either a stick or crutch </w:t>
                  </w:r>
                </w:p>
              </w:tc>
            </w:tr>
            <w:tr>
              <w:trPr/>
              <w:tc>
                <w:tcPr>
                  <w:tcW w:w="1800" w:type="pct"/>
                  <w:vAlign w:val="top"/>
                </w:tcPr>
                <w:p>
                  <w:r>
                    <w:t xml:space="preserve">Usually walks with two aids or frame (with or without</w:t>
                  </w:r>
                  <w:r>
                    <w:br/>
                  </w:r>
                  <w:r>
                    <w:t xml:space="preserve">assistance of a person)</w:t>
                  </w:r>
                </w:p>
              </w:tc>
              <w:tc>
                <w:tcPr>
                  <w:tcW w:w="3150" w:type="pct"/>
                  <w:vAlign w:val="top"/>
                </w:tcPr>
                <w:p>
                  <w:r>
                    <w:t xml:space="preserve">Usually walks without walking aids </w:t>
                  </w:r>
                  <w:r>
                    <w:rPr>
                      <w:b/>
                    </w:rPr>
                    <w:t xml:space="preserve">or</w:t>
                  </w:r>
                  <w:r>
                    <w:t xml:space="preserve"> Usually walks with either a stick </w:t>
                  </w:r>
                  <w:r>
                    <w:rPr>
                      <w:b/>
                    </w:rPr>
                    <w:t xml:space="preserve">or</w:t>
                  </w:r>
                  <w:r>
                    <w:t xml:space="preserve"> crutch </w:t>
                  </w:r>
                  <w:r>
                    <w:rPr>
                      <w:b/>
                    </w:rPr>
                    <w:t xml:space="preserve">or</w:t>
                  </w:r>
                  <w:r>
                    <w:t xml:space="preserve"> Usually walks with two aids or frame (with or without assistance of a person) </w:t>
                  </w:r>
                  <w:r>
                    <w:br/>
                  </w:r>
                  <w:r>
                    <w:br/>
                  </w:r>
                  <w:r>
                    <w:t xml:space="preserve"> </w:t>
                  </w:r>
                </w:p>
              </w:tc>
            </w:tr>
          </w:tbl>
          <w:p>
            <w:r>
              <w:t xml:space="preserve">If the person has different levels of mobility on different surfaces then record the level of most assistance.</w:t>
            </w:r>
          </w:p>
          <w:p>
            <w:r>
              <w:t xml:space="preserve">For both the numerator and the denominator, include only patients who were followed up at 120 days following </w:t>
            </w:r>
            <w:hyperlink w:history="true" r:id="R6756f130dcab49f0">
              <w:r>
                <w:rPr>
                  <w:rStyle w:val="Hyperlink"/>
                </w:rPr>
                <w:t xml:space="preserve">Episode of admitted patient care—admission date, DDMMYYYY</w:t>
              </w:r>
            </w:hyperlink>
            <w:r>
              <w:t xml:space="preserve"> for the acute admission at which the hip fracture surgery was undertaken. Exclude patients who:</w:t>
            </w:r>
          </w:p>
          <w:p>
            <w:pPr>
              <w:pStyle w:val="ListParagraph"/>
              <w:numPr>
                <w:ilvl w:val="0"/>
                <w:numId w:val="2"/>
              </w:numPr>
            </w:pPr>
            <w:r>
              <w:t xml:space="preserve">Were reported at admission as ‘usually using a wheel chair/bed bound’ or their walking status was not recorded or recorded as ‘Not known’.</w:t>
            </w:r>
          </w:p>
          <w:p>
            <w:pPr>
              <w:pStyle w:val="ListParagraph"/>
              <w:numPr>
                <w:ilvl w:val="0"/>
                <w:numId w:val="2"/>
              </w:numPr>
            </w:pPr>
            <w:r>
              <w:t xml:space="preserve">Died during the hip fracture admission (i.e. where </w:t>
            </w:r>
            <w:hyperlink w:history="true" r:id="R5cc2693fee2c4a48">
              <w:r>
                <w:rPr>
                  <w:rStyle w:val="Hyperlink"/>
                </w:rPr>
                <w:t xml:space="preserve">Episode of admitted patient care—separation mode, code N</w:t>
              </w:r>
            </w:hyperlink>
            <w:r>
              <w:t xml:space="preserve">=8 Died) or were deceased at the 120-day follow-up.</w:t>
            </w:r>
          </w:p>
          <w:p>
            <w:pPr>
              <w:pStyle w:val="ListParagraph"/>
              <w:numPr>
                <w:ilvl w:val="0"/>
                <w:numId w:val="2"/>
              </w:numPr>
            </w:pPr>
            <w:r>
              <w:t xml:space="preserve">Did not undergo hip fracture surgery for their hip fracture.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with a hip fracture who returned to pre-admission walking ability within 120 days post hip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that had hip fracture surgery followed up within 120 days of hip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For hospitals collecting the Australian and New Zealand Hip Fracture Registry (ANZHFR) data set (ANZHFR Steering Group 2022), the variables </w:t>
            </w:r>
            <w:r>
              <w:rPr>
                <w:rStyle w:val="row-content-rich-text"/>
                <w:i/>
              </w:rPr>
              <w:t xml:space="preserve">Pre-admission walking ability </w:t>
            </w:r>
            <w:r>
              <w:rPr>
                <w:rStyle w:val="row-content-rich-text"/>
              </w:rPr>
              <w:t xml:space="preserve">and </w:t>
            </w:r>
            <w:r>
              <w:rPr>
                <w:rStyle w:val="row-content-rich-text"/>
                <w:i/>
              </w:rPr>
              <w:t xml:space="preserve">Post-admission walking ability at 120-day follow-up</w:t>
            </w:r>
            <w:r>
              <w:rPr>
                <w:rStyle w:val="row-content-rich-text"/>
              </w:rPr>
              <w:t xml:space="preserve"> can be used for the numerator of this indicator.</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Service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Hip Fracture Clinical Care Standard 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Health Service Organisations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Health Service Organisations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Australian Commission on Safety and Quality in Health Care. Hip Fracture Clinical Care Standard. Sydney: ACSQHC; 2023.</w:t>
            </w:r>
          </w:p>
          <w:p>
            <w:pPr/>
            <w:r>
              <w:rPr>
                <w:rStyle w:val="row-content-rich-text"/>
              </w:rPr>
              <w:t xml:space="preserve">Australian and New Zealand Hip Fracture Registry. Data Dictionary Version 15. ANZHFR; 2022. </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12599c1d6504895">
              <w:r>
                <w:rPr>
                  <w:rStyle w:val="Hyperlink"/>
                </w:rPr>
                <w:t xml:space="preserve">Hip fracture care clinical care standard indicators: 5d-Proportion of patients with a hip fracture returning to pre-fracture mobility</w:t>
              </w:r>
            </w:hyperlink>
          </w:p>
          <w:p>
            <w:pPr>
              <w:pStyle w:val="registration-status"/>
              <w:spacing w:before="0" w:after="0"/>
            </w:pPr>
            <w:hyperlink w:history="true" r:id="Rbccf4ed235b14c85">
              <w:r>
                <w:rPr>
                  <w:rStyle w:val="Hyperlink"/>
                  <w:color w:val="244061"/>
                </w:rPr>
                <w:t xml:space="preserve">Health</w:t>
              </w:r>
            </w:hyperlink>
            <w:r>
              <w:rPr>
                <w:rStyle w:val="row-content"/>
                <w:color w:val="244061"/>
              </w:rPr>
              <w:t xml:space="preserve">, Standard 12/09/2016</w:t>
            </w:r>
          </w:p>
          <w:p>
            <w:r>
              <w:br/>
            </w:r>
          </w:p>
        </w:tc>
      </w:tr>
    </w:tbl>
    <w:p>
      <w:r>
        <w:br/>
      </w:r>
    </w:p>
    <w:sectPr>
      <w:footerReference xmlns:r="http://schemas.openxmlformats.org/officeDocument/2006/relationships" w:type="default" r:id="Rd0e5c6980dd548c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780961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9a7f8061a8743c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0e5c6980dd548ca" /><Relationship Type="http://schemas.openxmlformats.org/officeDocument/2006/relationships/header" Target="/word/header1.xml" Id="R023f0f4322184aa6" /><Relationship Type="http://schemas.openxmlformats.org/officeDocument/2006/relationships/settings" Target="/word/settings.xml" Id="R00465d7b4d6640aa" /><Relationship Type="http://schemas.openxmlformats.org/officeDocument/2006/relationships/styles" Target="/word/styles.xml" Id="Rc07324aa594a476c" /><Relationship Type="http://schemas.openxmlformats.org/officeDocument/2006/relationships/numbering" Target="/word/numbering.xml" Id="Rae44986aad0b4d18" /><Relationship Type="http://schemas.openxmlformats.org/officeDocument/2006/relationships/hyperlink" Target="https://meteor.aihw.gov.au/RegistrationAuthority/18" TargetMode="External" Id="R24447036903d4931" /><Relationship Type="http://schemas.openxmlformats.org/officeDocument/2006/relationships/hyperlink" Target="https://meteor.aihw.gov.au/content/780812" TargetMode="External" Id="R0530e048f91648f3" /><Relationship Type="http://schemas.openxmlformats.org/officeDocument/2006/relationships/hyperlink" Target="https://meteor.aihw.gov.au/RegistrationAuthority/18" TargetMode="External" Id="Re3980d8ed7c545c0" /><Relationship Type="http://schemas.openxmlformats.org/officeDocument/2006/relationships/hyperlink" Target="https://meteor.aihw.gov.au/content/269967" TargetMode="External" Id="R6756f130dcab49f0" /><Relationship Type="http://schemas.openxmlformats.org/officeDocument/2006/relationships/hyperlink" Target="https://meteor.aihw.gov.au/content/270094" TargetMode="External" Id="R5cc2693fee2c4a48" /><Relationship Type="http://schemas.openxmlformats.org/officeDocument/2006/relationships/hyperlink" Target="https://meteor.aihw.gov.au/content/696444" TargetMode="External" Id="Rf12599c1d6504895" /><Relationship Type="http://schemas.openxmlformats.org/officeDocument/2006/relationships/hyperlink" Target="https://meteor.aihw.gov.au/RegistrationAuthority/12" TargetMode="External" Id="Rbccf4ed235b14c85" /></Relationships>
</file>

<file path=word/_rels/header1.xml.rels>&#65279;<?xml version="1.0" encoding="utf-8"?><Relationships xmlns="http://schemas.openxmlformats.org/package/2006/relationships"><Relationship Type="http://schemas.openxmlformats.org/officeDocument/2006/relationships/image" Target="/media/image.png" Id="R59a7f8061a8743c8" /></Relationships>
</file>