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88b7f730e44b22"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6a-Proportion of admitted patients with a hip fracture who received bone protection medicine while in hospital or a prescription prior to separation from hospital</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6a-Proportion of admitted patients with a hip fracture who received bone protection medicine while in hospital or a prescription prior to separation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6a-Proportion of admitted patients with a hip fracture who received bone protection medicine while in hospital or a prescription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d616124f04367">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received bone protection medicine while in hospital or a prescription for bone protection medicine prior to separation from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cc6ae70cfb48ad">
              <w:r>
                <w:rPr>
                  <w:rStyle w:val="Hyperlink"/>
                </w:rPr>
                <w:t xml:space="preserve">Hip Fracture Clinical Care Standard 2023</w:t>
              </w:r>
            </w:hyperlink>
          </w:p>
          <w:p>
            <w:pPr>
              <w:spacing w:before="0" w:after="0"/>
            </w:pPr>
            <w:r>
              <w:rPr>
                <w:rStyle w:val="row-content"/>
                <w:color w:val="244061"/>
              </w:rPr>
              <w:t xml:space="preserve">       </w:t>
            </w:r>
            <w:hyperlink w:history="true" r:id="R61eeddc915264797">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'bone protection medicine' includes (ANZHFR Steering Group, 2022):</w:t>
            </w:r>
          </w:p>
          <w:p>
            <w:pPr>
              <w:pStyle w:val="ListParagraph"/>
              <w:numPr>
                <w:ilvl w:val="0"/>
                <w:numId w:val="2"/>
              </w:numPr>
            </w:pPr>
            <w:r>
              <w:rPr>
                <w:rStyle w:val="row-content-rich-text"/>
              </w:rPr>
              <w:t xml:space="preserve">Calcium and/or vitamin D only</w:t>
            </w:r>
          </w:p>
          <w:p>
            <w:pPr>
              <w:pStyle w:val="ListParagraph"/>
              <w:numPr>
                <w:ilvl w:val="0"/>
                <w:numId w:val="2"/>
              </w:numPr>
            </w:pPr>
            <w:r>
              <w:rPr>
                <w:rStyle w:val="row-content-rich-text"/>
              </w:rPr>
              <w:t xml:space="preserve">Bisphosphonates, denosumab, romosozumab or teriparatide (with or without calcium and/or vitamin D)</w:t>
            </w:r>
          </w:p>
          <w:p>
            <w:pPr>
              <w:spacing w:after="160"/>
            </w:pPr>
            <w:r>
              <w:rPr>
                <w:rStyle w:val="row-content-rich-text"/>
              </w:rPr>
              <w:t xml:space="preserve">'Calcium or vitamin D' includes Calcitriol, calcium and vitamin D or Alpha-calcidol (or one alpha).</w:t>
            </w:r>
          </w:p>
          <w:p>
            <w:pPr>
              <w:spacing w:after="160"/>
            </w:pPr>
            <w:r>
              <w:rPr>
                <w:rStyle w:val="row-content-rich-text"/>
              </w:rPr>
              <w:t xml:space="preserve">'Bisphosphonates' includes: Etidronate, Alendronate, Risedronate, Ibandronate, Zoledronate, Pamidronate.</w:t>
            </w:r>
          </w:p>
          <w:p>
            <w:pPr>
              <w:spacing w:after="160"/>
            </w:pPr>
            <w:r>
              <w:rPr>
                <w:rStyle w:val="row-content-rich-text"/>
              </w:rPr>
              <w:t xml:space="preserve">Both the numerator and the denominator exclude episodes where </w:t>
            </w:r>
            <w:hyperlink w:history="true" r:id="Rc5475ca5d5fd4bfc">
              <w:r>
                <w:rPr>
                  <w:rStyle w:val="Hyperlink"/>
                </w:rPr>
                <w:t xml:space="preserve">Episode of admitted patient care—separation mode, code N</w:t>
              </w:r>
            </w:hyperlink>
            <w:r>
              <w:rPr>
                <w:rStyle w:val="row-content-rich-text"/>
              </w:rPr>
              <w:t xml:space="preserve">=8 Died.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a hip fracture who received bone protection medicine while in hospital or a prescription for bone protection medicine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a hip fracture.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Hip Fracture Clinical Care Standard. Sydney: ACSQHC; 2023.</w:t>
            </w:r>
          </w:p>
          <w:p>
            <w:pPr/>
            <w:r>
              <w:rPr>
                <w:rStyle w:val="row-content-rich-text"/>
              </w:rPr>
              <w:t xml:space="preserve">Australian and New Zealand Hip Fracture Registry. Data Dictionary Version 15. ANZHFR; 2022.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95dadc44234964">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2973542ce00b4ee3">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6addc94a09f8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780936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eeef8cc1e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dc94a09f8469d" /><Relationship Type="http://schemas.openxmlformats.org/officeDocument/2006/relationships/header" Target="/word/header1.xml" Id="R7d7954c8c6ee4259" /><Relationship Type="http://schemas.openxmlformats.org/officeDocument/2006/relationships/settings" Target="/word/settings.xml" Id="R7b7854c93a99437f" /><Relationship Type="http://schemas.openxmlformats.org/officeDocument/2006/relationships/styles" Target="/word/styles.xml" Id="R5942a9ba0b3f4714" /><Relationship Type="http://schemas.openxmlformats.org/officeDocument/2006/relationships/hyperlink" Target="https://meteor.aihw.gov.au/RegistrationAuthority/18" TargetMode="External" Id="R10fd616124f04367" /><Relationship Type="http://schemas.openxmlformats.org/officeDocument/2006/relationships/hyperlink" Target="https://meteor.aihw.gov.au/content/780812" TargetMode="External" Id="Rcecc6ae70cfb48ad" /><Relationship Type="http://schemas.openxmlformats.org/officeDocument/2006/relationships/hyperlink" Target="https://meteor.aihw.gov.au/RegistrationAuthority/18" TargetMode="External" Id="R61eeddc915264797" /><Relationship Type="http://schemas.openxmlformats.org/officeDocument/2006/relationships/numbering" Target="/word/numbering.xml" Id="R76e71a0809d34d4b" /><Relationship Type="http://schemas.openxmlformats.org/officeDocument/2006/relationships/hyperlink" Target="https://meteor.aihw.gov.au/content/270094" TargetMode="External" Id="Rc5475ca5d5fd4bfc" /><Relationship Type="http://schemas.openxmlformats.org/officeDocument/2006/relationships/hyperlink" Target="https://meteor.aihw.gov.au/content/696446" TargetMode="External" Id="R2795dadc44234964" /><Relationship Type="http://schemas.openxmlformats.org/officeDocument/2006/relationships/hyperlink" Target="https://meteor.aihw.gov.au/RegistrationAuthority/12" TargetMode="External" Id="R2973542ce00b4ee3" /></Relationships>
</file>

<file path=word/_rels/header1.xml.rels>&#65279;<?xml version="1.0" encoding="utf-8"?><Relationships xmlns="http://schemas.openxmlformats.org/package/2006/relationships"><Relationship Type="http://schemas.openxmlformats.org/officeDocument/2006/relationships/image" Target="/media/image.png" Id="R334eeef8cc1e4e15" /></Relationships>
</file>