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1e4f2c0b94ed0"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5a-Proportion of admitted patients with a hip fracture who were mobilised the day of, or the day after, their hip fracture surgery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5a-Proportion of admitted patients with a hip fracture who were mobilised the day of, or the day after, their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5a-Proportion of admitted patients with a hip fracture who were mobilised the day of, or the day after, their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e4c9ee43f045f1">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admitted patients with a hip fracture who were mobilised the day of, or the day after, their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vertAlign w:val="superscrip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428758cc964a9e">
              <w:r>
                <w:rPr>
                  <w:rStyle w:val="Hyperlink"/>
                </w:rPr>
                <w:t xml:space="preserve">Hip Fracture Clinical Care Standard 2023</w:t>
              </w:r>
            </w:hyperlink>
          </w:p>
          <w:p>
            <w:pPr>
              <w:spacing w:before="0" w:after="0"/>
            </w:pPr>
            <w:r>
              <w:rPr>
                <w:rStyle w:val="row-content"/>
                <w:color w:val="244061"/>
              </w:rPr>
              <w:t xml:space="preserve">       </w:t>
            </w:r>
            <w:hyperlink w:history="true" r:id="Ra71207ccad944c60">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of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'mobilised' means that the patient managed to stand and step transfer out of bed onto a chair or commode, or walk. </w:t>
            </w:r>
          </w:p>
          <w:p>
            <w:pPr>
              <w:spacing w:after="160"/>
            </w:pPr>
            <w:r>
              <w:rPr>
                <w:rStyle w:val="row-content-rich-text"/>
              </w:rPr>
              <w:t xml:space="preserve">Exclude patients who only sat over the edge of the bed or stood up but did not take a step. </w:t>
            </w:r>
          </w:p>
          <w:p>
            <w:pPr>
              <w:spacing w:after="160"/>
            </w:pPr>
            <w:r>
              <w:rPr>
                <w:rStyle w:val="row-content-rich-text"/>
              </w:rPr>
              <w:t xml:space="preserve">Both the numerator and the denominator exclude patients where </w:t>
            </w:r>
            <w:hyperlink w:history="true" r:id="Rc4446190054344ee">
              <w:r>
                <w:rPr>
                  <w:rStyle w:val="Hyperlink"/>
                </w:rPr>
                <w:t xml:space="preserve">Episode of admitted patient care—separation mode, code N</w:t>
              </w:r>
            </w:hyperlink>
            <w:r>
              <w:rPr>
                <w:rStyle w:val="row-content-rich-text"/>
              </w:rPr>
              <w:t xml:space="preserve"> </w:t>
            </w:r>
            <w:r>
              <w:rPr>
                <w:rStyle w:val="row-content-rich-text"/>
              </w:rPr>
              <w:t xml:space="preserve">= 8 Died, and the date of death was the date of the hip fracture surgery or the day following the surgery.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with a hip fracture who were mobilised the day of, or the day after, their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with a hip fracture who had hip fracture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Clinical Care Standard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Hip Fracture Clinical Care Standard. Sydney: ACSQHC;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0adfd51d884e12">
              <w:r>
                <w:rPr>
                  <w:rStyle w:val="Hyperlink"/>
                </w:rPr>
                <w:t xml:space="preserve">Hip fracture care clinical care standard indicators: 5a-Proportion of patients with a hip fracture who are mobilised on day one post hip fracture surgery</w:t>
              </w:r>
            </w:hyperlink>
          </w:p>
          <w:p>
            <w:pPr>
              <w:spacing w:before="0" w:after="0"/>
            </w:pPr>
            <w:r>
              <w:rPr>
                <w:rStyle w:val="row-content"/>
                <w:color w:val="244061"/>
              </w:rPr>
              <w:t xml:space="preserve">       </w:t>
            </w:r>
            <w:hyperlink w:history="true" r:id="R1dfae349b9884b01">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06b7a4c791304f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780923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c5f9ed603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7a4c791304fa5" /><Relationship Type="http://schemas.openxmlformats.org/officeDocument/2006/relationships/header" Target="/word/header1.xml" Id="Reb05c0d382314de5" /><Relationship Type="http://schemas.openxmlformats.org/officeDocument/2006/relationships/settings" Target="/word/settings.xml" Id="R8390e91d4e7b428c" /><Relationship Type="http://schemas.openxmlformats.org/officeDocument/2006/relationships/styles" Target="/word/styles.xml" Id="Rd59e3ee1702b40da" /><Relationship Type="http://schemas.openxmlformats.org/officeDocument/2006/relationships/hyperlink" Target="https://meteor.aihw.gov.au/RegistrationAuthority/18" TargetMode="External" Id="R9ee4c9ee43f045f1" /><Relationship Type="http://schemas.openxmlformats.org/officeDocument/2006/relationships/hyperlink" Target="https://meteor.aihw.gov.au/content/780812" TargetMode="External" Id="R3e428758cc964a9e" /><Relationship Type="http://schemas.openxmlformats.org/officeDocument/2006/relationships/hyperlink" Target="https://meteor.aihw.gov.au/RegistrationAuthority/18" TargetMode="External" Id="Ra71207ccad944c60" /><Relationship Type="http://schemas.openxmlformats.org/officeDocument/2006/relationships/hyperlink" Target="https://meteor.aihw.gov.au/content/270094" TargetMode="External" Id="Rc4446190054344ee" /><Relationship Type="http://schemas.openxmlformats.org/officeDocument/2006/relationships/hyperlink" Target="https://meteor.aihw.gov.au/content/696438" TargetMode="External" Id="R3a0adfd51d884e12" /><Relationship Type="http://schemas.openxmlformats.org/officeDocument/2006/relationships/hyperlink" Target="https://meteor.aihw.gov.au/RegistrationAuthority/12" TargetMode="External" Id="R1dfae349b9884b01" /></Relationships>
</file>

<file path=word/_rels/header1.xml.rels>&#65279;<?xml version="1.0" encoding="utf-8"?><Relationships xmlns="http://schemas.openxmlformats.org/package/2006/relationships"><Relationship Type="http://schemas.openxmlformats.org/officeDocument/2006/relationships/image" Target="/media/image.png" Id="R320c5f9ed6034f9e" /></Relationships>
</file>