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7c030af10247bb"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1a- Proportion of patients with a hip fracture who were screened for cognitive impairment using a validated tool on presentation to hospital</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1a- Proportion of patients with a hip fracture who were screened for cognitive impairment using a validated tool on presentation to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1a-Proportion of patients with a hip fracture who were screened for cognitive impairment using a validated tool on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06c9fa80846e9">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were screened for cognitive impairment using a validated tool on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3eefd30b024a1d">
              <w:r>
                <w:rPr>
                  <w:rStyle w:val="Hyperlink"/>
                </w:rPr>
                <w:t xml:space="preserve">Hip Fracture Clinical Care Standard 2023</w:t>
              </w:r>
            </w:hyperlink>
          </w:p>
          <w:p>
            <w:pPr>
              <w:spacing w:before="0" w:after="0"/>
            </w:pPr>
            <w:r>
              <w:rPr>
                <w:rStyle w:val="row-content"/>
                <w:color w:val="244061"/>
              </w:rPr>
              <w:t xml:space="preserve">       </w:t>
            </w:r>
            <w:hyperlink w:history="true" r:id="R679b394e898142ef">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who were screened for cognitive impairment using a validated tool on presentation to hospital and the results were recorded in their medical record.  There are a range of validated tools for screening for cognitive impairment.  They include:</w:t>
            </w:r>
          </w:p>
          <w:p>
            <w:pPr>
              <w:pStyle w:val="ListParagraph"/>
              <w:numPr>
                <w:ilvl w:val="0"/>
                <w:numId w:val="2"/>
              </w:numPr>
            </w:pPr>
            <w:r>
              <w:rPr>
                <w:rStyle w:val="row-content-rich-text"/>
              </w:rPr>
              <w:t xml:space="preserve">Abbreviated Mental Test Score (AMTS)</w:t>
            </w:r>
          </w:p>
          <w:p>
            <w:pPr>
              <w:pStyle w:val="ListParagraph"/>
              <w:numPr>
                <w:ilvl w:val="0"/>
                <w:numId w:val="2"/>
              </w:numPr>
            </w:pPr>
            <w:r>
              <w:rPr>
                <w:rStyle w:val="row-content-rich-text"/>
              </w:rPr>
              <w:t xml:space="preserve">4AT test: screening instrument for cognitive impairment and delirium</w:t>
            </w:r>
          </w:p>
          <w:p>
            <w:pPr>
              <w:pStyle w:val="ListParagraph"/>
              <w:numPr>
                <w:ilvl w:val="0"/>
                <w:numId w:val="2"/>
              </w:numPr>
            </w:pPr>
            <w:r>
              <w:rPr>
                <w:rStyle w:val="row-content-rich-text"/>
              </w:rPr>
              <w:t xml:space="preserve">Kimberly Indigenous Cognitive Assessment (KICA) tools</w:t>
            </w:r>
          </w:p>
          <w:p>
            <w:pPr/>
            <w:r>
              <w:rPr>
                <w:rStyle w:val="row-content-rich-text"/>
              </w:rPr>
              <w:t xml:space="preserve">The 4AT has been validated both for screening for cognitive impairment and delirium assessment. Administration of the 4AT meets the numerator criteria for this indicator and for </w:t>
            </w:r>
            <w:hyperlink w:tooltip="3b-Proportion of patients with a hip fracture who were assessed for delirium following surgery." w:history="true" r:id="R3107b7edd1ae481a">
              <w:r>
                <w:rPr>
                  <w:rStyle w:val="Hyperlink"/>
                </w:rPr>
                <w:t xml:space="preserve">3b-Proportion of patients with a hip fracture who were assessed for delirium following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were screened for cognitive impairment using a validated tool on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presented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Undertaking screening for cognitive impairment for patients with hip fracture also meets the requirements for </w:t>
            </w:r>
            <w:hyperlink w:history="true" r:id="Rc15821ff3e514ab8">
              <w:r>
                <w:rPr>
                  <w:rStyle w:val="Hyperlink"/>
                </w:rPr>
                <w:t xml:space="preserve">Delirium clinical care standard indicators: 1b-Proportion of admitted patients aged 65 years or older or 45 years or older for Aboriginal and Torres Strait Islander people who were screened for cognitive impairment using a validated tool within 24 hours of presentation to hospital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Bellelli G, Morandi A, Davis DH, Mazzola P, Turco R, Gentile S, et al. Validation of the 4AT, a new instrument for rapid delirium screening: a study in 234 hospitalised older people. Age Ageing. 2014 Jul;43(4):496–502.</w:t>
            </w:r>
          </w:p>
          <w:p>
            <w:pPr>
              <w:spacing w:after="160"/>
            </w:pPr>
            <w:r>
              <w:rPr>
                <w:rStyle w:val="row-content-rich-text"/>
              </w:rPr>
              <w:t xml:space="preserve">Hodkinson HM. Evaluation of a mental test score for assessment of mental impairment in the elderly. Age Ageing. 1972 Nov;1(4):233-8.</w:t>
            </w:r>
          </w:p>
          <w:p>
            <w:pPr>
              <w:spacing w:after="160"/>
            </w:pPr>
            <w:r>
              <w:rPr>
                <w:rStyle w:val="row-content-rich-text"/>
              </w:rPr>
              <w:t xml:space="preserve">LoGiudice D, Smith K, Thomas J, Lautenschlager NT, Almeida OP, Atkinson D, et al. Kimberley Indigenous Cognitive Assessment tool (KICA): development of a cognitive assessment tool for older indigenous Australians. Int Psychogeriatr. 2006 Jun;18(2):269-80</w:t>
            </w:r>
            <w:r>
              <w:rPr>
                <w:rStyle w:val="row-content-rich-text"/>
              </w:rPr>
              <w:t xml:space="preserve">.</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21001899abba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780818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152819bb4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01899abba4b6b" /><Relationship Type="http://schemas.openxmlformats.org/officeDocument/2006/relationships/header" Target="/word/header1.xml" Id="R62688f3ee5464f16" /><Relationship Type="http://schemas.openxmlformats.org/officeDocument/2006/relationships/settings" Target="/word/settings.xml" Id="R84ab31f2725d43a4" /><Relationship Type="http://schemas.openxmlformats.org/officeDocument/2006/relationships/styles" Target="/word/styles.xml" Id="Rfa2fc4ac90484333" /><Relationship Type="http://schemas.openxmlformats.org/officeDocument/2006/relationships/hyperlink" Target="https://meteor.aihw.gov.au/RegistrationAuthority/18" TargetMode="External" Id="Rf5706c9fa80846e9" /><Relationship Type="http://schemas.openxmlformats.org/officeDocument/2006/relationships/hyperlink" Target="https://meteor.aihw.gov.au/content/780812" TargetMode="External" Id="Rc63eefd30b024a1d" /><Relationship Type="http://schemas.openxmlformats.org/officeDocument/2006/relationships/hyperlink" Target="https://meteor.aihw.gov.au/RegistrationAuthority/18" TargetMode="External" Id="R679b394e898142ef" /><Relationship Type="http://schemas.openxmlformats.org/officeDocument/2006/relationships/numbering" Target="/word/numbering.xml" Id="R74e1746afb714c83" /><Relationship Type="http://schemas.openxmlformats.org/officeDocument/2006/relationships/hyperlink" Target="https://meteor.aihw.gov.au/content/780850" TargetMode="External" Id="R3107b7edd1ae481a" /><Relationship Type="http://schemas.openxmlformats.org/officeDocument/2006/relationships/hyperlink" Target="https://meteor.aihw.gov.au/content/745810" TargetMode="External" Id="Rc15821ff3e514ab8" /></Relationships>
</file>

<file path=word/_rels/header1.xml.rels>&#65279;<?xml version="1.0" encoding="utf-8"?><Relationships xmlns="http://schemas.openxmlformats.org/package/2006/relationships"><Relationship Type="http://schemas.openxmlformats.org/officeDocument/2006/relationships/image" Target="/media/image.png" Id="R88d152819bb44a3d" /></Relationships>
</file>