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635343663b4ca7"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2021–22: National Community Mental Health Care Database, 2023;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2021–22: National Community Mental Health Care Database,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43dc2cab44edc">
              <w:r>
                <w:rPr>
                  <w:rStyle w:val="Hyperlink"/>
                  <w:color w:val="244061"/>
                </w:rPr>
                <w:t xml:space="preserve">AIHW Data Quality Statements</w:t>
              </w:r>
            </w:hyperlink>
            <w:r>
              <w:rPr>
                <w:rStyle w:val="row-content"/>
                <w:color w:val="244061"/>
              </w:rPr>
              <w:t xml:space="preserve">, Standard 08/12/2023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4.5% of contacts in the 2021–22 NCMHCD.</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b/>
              </w:rPr>
              <w:t xml:space="preserve">Description</w:t>
            </w:r>
          </w:p>
          <w:p>
            <w:pPr>
              <w:spacing w:after="160"/>
            </w:pPr>
            <w:r>
              <w:rPr>
                <w:rStyle w:val="row-content-rich-text"/>
              </w:rPr>
              <w:t xml:space="preserve">The NCMHCD contains data on community (also sometimes termed "ambulatory") mental health service contacts provided by government-funded community mental health care services as specified by the </w:t>
            </w:r>
            <w:hyperlink w:history="true" r:id="R86047ac548184e44">
              <w:r>
                <w:rPr>
                  <w:rStyle w:val="Hyperlink"/>
                </w:rPr>
                <w:t xml:space="preserve">Community mental health care (CMHC) National Minimum Data Set (NMDS)</w:t>
              </w:r>
            </w:hyperlink>
            <w:r>
              <w:rPr>
                <w:rStyle w:val="row-content-rich-text"/>
              </w:rPr>
              <w:t xml:space="preserve">. The NCMHCD includes data for each year from 2000–01 to 2021–22.</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w:t>
            </w:r>
            <w:hyperlink w:history="true" r:id="R478eab6eaeb54317">
              <w:r>
                <w:rPr>
                  <w:rStyle w:val="Hyperlink"/>
                </w:rPr>
                <w:t xml:space="preserve">Mental Health Establishments (MHE) NMDS</w:t>
              </w:r>
            </w:hyperlink>
            <w:r>
              <w:rPr>
                <w:rStyle w:val="row-content-rich-text"/>
              </w:rPr>
              <w:t xml:space="preserve">,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6fbd35619f6416c">
              <w:r>
                <w:rPr>
                  <w:rStyle w:val="Hyperlink"/>
                  <w:i/>
                </w:rPr>
                <w:t xml:space="preserve">Australian Institute of Health and Welfare Act 1987</w:t>
              </w:r>
            </w:hyperlink>
            <w:r>
              <w:rPr>
                <w:rStyle w:val="row-content-rich-text"/>
              </w:rPr>
              <w:t xml:space="preserve"> (AIHW Act), governed by a </w:t>
            </w:r>
            <w:hyperlink w:history="true" r:id="R99938738167e4a1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748771ebe7004dfc">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143ff0ce27b4c7f">
              <w:r>
                <w:rPr>
                  <w:rStyle w:val="Hyperlink"/>
                </w:rPr>
                <w:t xml:space="preserve">www.aihw.gov.au/about-us</w:t>
              </w:r>
            </w:hyperlink>
            <w:r>
              <w:rPr>
                <w:rStyle w:val="row-content-rich-text"/>
              </w:rPr>
              <w:t xml:space="preserve">, which includes details about the AIHW's governance (</w:t>
            </w:r>
            <w:hyperlink w:history="true" r:id="Rfe5e2510e6384181">
              <w:r>
                <w:rPr>
                  <w:rStyle w:val="Hyperlink"/>
                </w:rPr>
                <w:t xml:space="preserve">www.aihw.gov.au/about-us/our-governance</w:t>
              </w:r>
            </w:hyperlink>
            <w:r>
              <w:rPr>
                <w:rStyle w:val="row-content-rich-text"/>
              </w:rPr>
              <w:t xml:space="preserve">) and our role and strategic goals (</w:t>
            </w:r>
            <w:hyperlink w:history="true" r:id="Ref0c83f990b84715">
              <w:r>
                <w:rPr>
                  <w:rStyle w:val="Hyperlink"/>
                </w:rPr>
                <w:t xml:space="preserve">www.aihw.gov.au/about-us/what-we-do</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w:t>
            </w:r>
            <w:hyperlink w:history="true" r:id="R5a941c5279374b77">
              <w:r>
                <w:rPr>
                  <w:rStyle w:val="Hyperlink"/>
                </w:rPr>
                <w:t xml:space="preserve">National Health Information Agreement</w:t>
              </w:r>
            </w:hyperlink>
            <w:r>
              <w:rPr>
                <w:rStyle w:val="row-content-rich-text"/>
              </w:rPr>
              <w:t xml:space="preserve">, as specified by the CMHC NMDS.</w:t>
            </w:r>
          </w:p>
          <w:p>
            <w:pPr/>
            <w:r>
              <w:rPr>
                <w:rStyle w:val="row-content-rich-text"/>
              </w:rPr>
              <w:t xml:space="preserve">Expenditure and resource information for community mental health services reporting to the NCMHCD are reported through the associated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2021–22, that is, service contacts provided between 1 July 2021 and 30 June 2022. Data for the 2021–22 reference period were supplied to the AIHW at the end of January 2023.</w:t>
            </w:r>
          </w:p>
          <w:p>
            <w:pPr/>
            <w:r>
              <w:rPr>
                <w:rStyle w:val="row-content-rich-text"/>
              </w:rPr>
              <w:t xml:space="preserve">The AIHW publishes data from the NCMHCD in </w:t>
            </w:r>
            <w:hyperlink w:history="true" r:id="R6ec21b55fe394d4c">
              <w:r>
                <w:rPr>
                  <w:rStyle w:val="Hyperlink"/>
                  <w:i/>
                </w:rPr>
                <w:t xml:space="preserve">Mental health online report</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w:t>
            </w:r>
            <w:r>
              <w:rPr>
                <w:rStyle w:val="row-content-rich-text"/>
                <w:i/>
              </w:rPr>
              <w:t xml:space="preserve">Mental health online report</w:t>
            </w:r>
            <w:r>
              <w:rPr>
                <w:rStyle w:val="row-content-rich-text"/>
              </w:rPr>
              <w:t xml:space="preserve"> as an online publication.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 — METEOR.</w:t>
            </w:r>
          </w:p>
          <w:p>
            <w:pPr>
              <w:spacing w:after="160"/>
            </w:pPr>
            <w:r>
              <w:rPr>
                <w:rStyle w:val="row-content-rich-text"/>
              </w:rPr>
              <w:t xml:space="preserve">METEOR can be accessed on the AIHW website:</w:t>
            </w:r>
          </w:p>
          <w:p>
            <w:hyperlink w:history="true" r:id="Rbe816afa2bbd4fc5">
              <w:r>
                <w:rPr>
                  <w:rStyle w:val="Hyperlink"/>
                </w:rPr>
                <w:t xml:space="preserve">http://meteor.aihw.gov.au</w:t>
              </w:r>
            </w:hyperlink>
          </w:p>
          <w:p>
            <w:pPr/>
            <w:r>
              <w:rPr>
                <w:rStyle w:val="row-content-rich-text"/>
              </w:rPr>
              <w:t xml:space="preserve">Data published annually in the </w:t>
            </w:r>
            <w:r>
              <w:rPr>
                <w:rStyle w:val="row-content-rich-text"/>
                <w:i/>
              </w:rPr>
              <w:t xml:space="preserve">Mental health online report</w:t>
            </w:r>
            <w:r>
              <w:rPr>
                <w:rStyle w:val="row-content-rich-text"/>
              </w:rPr>
              <w:t xml:space="preserve"> includes caveated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spacing w:after="160"/>
            </w:pPr>
            <w:r>
              <w:rPr>
                <w:rStyle w:val="row-content-rich-text"/>
              </w:rPr>
              <w:t xml:space="preserve">A mental health service contact, for the purposes of this collection, is defined as the provision of a clinically significant service by a specialised mental health service provider for patients/clients. There are two exceptions:</w:t>
            </w:r>
          </w:p>
          <w:p>
            <w:pPr>
              <w:pStyle w:val="ListParagraph"/>
              <w:numPr>
                <w:ilvl w:val="0"/>
                <w:numId w:val="3"/>
              </w:numPr>
            </w:pPr>
            <w:r>
              <w:rPr>
                <w:rStyle w:val="row-content-rich-text"/>
              </w:rPr>
              <w:t xml:space="preserve">those admitted to psychiatric hospitals or designated psychiatric units in acute care hospitals, and,</w:t>
            </w:r>
          </w:p>
          <w:p>
            <w:pPr>
              <w:pStyle w:val="ListParagraph"/>
              <w:numPr>
                <w:ilvl w:val="0"/>
                <w:numId w:val="3"/>
              </w:numPr>
            </w:pPr>
            <w:r>
              <w:rPr>
                <w:rStyle w:val="row-content-rich-text"/>
              </w:rPr>
              <w:t xml:space="preserve">those resident in 24-hour staffed specialised residential mental health services, where the nature of the service would normally warrant a dated entry in the clinical record of the patient/client in question.</w:t>
            </w:r>
          </w:p>
          <w:p>
            <w:pPr/>
            <w:r>
              <w:rPr>
                <w:rStyle w:val="row-content-rich-text"/>
              </w:rPr>
              <w:t xml:space="preserve">Any one patient can have one or more service contacts over the reporting period (that is, 2021–22). Service contacts are not restricted to face-to-face communication, and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Potential errors are queried with jurisdictions, and corrections and resubmissions to the data may be made in response to these queries. The AIHW does not adjust data to account for possible data errors or missing or incorrect values. At the time of publication, the Australian Capital Territory was unable to verify the coverage of services and contact data, the quality of Indigenous status data, and edition of ICD-10-AM used for reporting Principal Diagnosis. Therefore, general statements referring to ‘all states and territories’ regarding coverage and data quality do not include the Australian Capital Territory.</w:t>
            </w:r>
          </w:p>
          <w:p>
            <w:pPr>
              <w:spacing w:after="160"/>
            </w:pPr>
            <w:r>
              <w:rPr>
                <w:rStyle w:val="row-content-rich-text"/>
              </w:rPr>
              <w:t xml:space="preserve">All states estimate that 85–100% of in-scope community mental health care services provided contact data to the collection. Overall service contact data coverage for jurisdictions was estimated to be between 86–100%. </w:t>
            </w:r>
          </w:p>
          <w:p>
            <w:pPr>
              <w:pStyle w:val="ListParagraph"/>
              <w:numPr>
                <w:ilvl w:val="0"/>
                <w:numId w:val="4"/>
              </w:numPr>
            </w:pPr>
            <w:r>
              <w:rPr>
                <w:rStyle w:val="row-content-rich-text"/>
              </w:rPr>
              <w:t xml:space="preserve">New South Wales reported that the coverage of the Justice Health data collection continues to be impacted by difficulties with reporting. New South Wales also reported that there are some variations in the way data is collected between the local health districts.</w:t>
            </w:r>
          </w:p>
          <w:p>
            <w:pPr>
              <w:pStyle w:val="ListParagraph"/>
              <w:numPr>
                <w:ilvl w:val="0"/>
                <w:numId w:val="4"/>
              </w:numPr>
            </w:pPr>
            <w:r>
              <w:rPr>
                <w:rStyle w:val="row-content-rich-text"/>
              </w:rPr>
              <w:t xml:space="preserve">Tasmania stated that forensic community mental health contacts are not reported due to ongoing challenges with the information system for the forensic service unit.</w:t>
            </w:r>
          </w:p>
          <w:p>
            <w:pPr>
              <w:pStyle w:val="ListParagraph"/>
              <w:numPr>
                <w:ilvl w:val="0"/>
                <w:numId w:val="4"/>
              </w:numPr>
            </w:pPr>
            <w:r>
              <w:rPr>
                <w:rStyle w:val="row-content-rich-text"/>
              </w:rPr>
              <w:t xml:space="preserve">South Australia reported that a small percentage of contacts may not be recorded for services such as consultation-liaison type services, i.e., some hospital-based ambulatory mental health care services.</w:t>
            </w:r>
          </w:p>
          <w:p>
            <w:pPr>
              <w:pStyle w:val="ListParagraph"/>
              <w:numPr>
                <w:ilvl w:val="0"/>
                <w:numId w:val="4"/>
              </w:numPr>
            </w:pPr>
            <w:r>
              <w:rPr>
                <w:rStyle w:val="row-content-rich-text"/>
              </w:rPr>
              <w:t xml:space="preserve">Victoria reported that about 5% of contacts were excluded from the submission as a unique client identifier was unable to be generated for these unregistered clients.</w:t>
            </w:r>
          </w:p>
          <w:p>
            <w:pPr>
              <w:spacing w:after="160"/>
            </w:pPr>
            <w:r>
              <w:rPr>
                <w:rStyle w:val="row-content-rich-text"/>
                <w:b/>
                <w:i/>
              </w:rPr>
              <w:t xml:space="preserve">Indigenous status</w:t>
            </w:r>
          </w:p>
          <w:p>
            <w:pPr>
              <w:spacing w:after="160"/>
            </w:pPr>
            <w:r>
              <w:rPr>
                <w:rStyle w:val="row-content-rich-text"/>
              </w:rPr>
              <w:t xml:space="preserve">Data from the NCMHCD on </w:t>
            </w:r>
            <w:r>
              <w:rPr>
                <w:rStyle w:val="row-content-rich-text"/>
                <w:i/>
              </w:rPr>
              <w:t xml:space="preserve">Indigenous status</w:t>
            </w:r>
            <w:r>
              <w:rPr>
                <w:rStyle w:val="row-content-rich-text"/>
              </w:rPr>
              <w:t xml:space="preserve"> should be interpreted with caution. Jurisdictional advice is that the methodology for Indigenous identification varies. The methodology for the identification of </w:t>
            </w:r>
            <w:r>
              <w:rPr>
                <w:rStyle w:val="row-content-rich-text"/>
                <w:i/>
              </w:rPr>
              <w:t xml:space="preserve">Indigenous status</w:t>
            </w:r>
            <w:r>
              <w:rPr>
                <w:rStyle w:val="row-content-rich-text"/>
              </w:rPr>
              <w:t xml:space="preserve"> varies both between jurisdictions and between services within a jurisdiction. Subsequently, the identification process may result in a different status being recorded among multiple service contacts or between service providers. </w:t>
            </w:r>
            <w:r>
              <w:rPr>
                <w:rStyle w:val="row-content-rich-text"/>
                <w:i/>
              </w:rPr>
              <w:t xml:space="preserve">Indigenous status</w:t>
            </w:r>
            <w:r>
              <w:rPr>
                <w:rStyle w:val="row-content-rich-text"/>
              </w:rPr>
              <w:t xml:space="preserve"> is missing for 4.5% of contacts in the 2021–22 NCMHCD.</w:t>
            </w:r>
          </w:p>
          <w:p>
            <w:pPr>
              <w:spacing w:after="160"/>
            </w:pPr>
            <w:r>
              <w:rPr>
                <w:rStyle w:val="row-content-rich-text"/>
              </w:rPr>
              <w:t xml:space="preserve">States and territories provided additional information on the quality of the </w:t>
            </w:r>
            <w:r>
              <w:rPr>
                <w:rStyle w:val="row-content-rich-text"/>
                <w:i/>
              </w:rPr>
              <w:t xml:space="preserve">Indigenous status</w:t>
            </w:r>
            <w:r>
              <w:rPr>
                <w:rStyle w:val="row-content-rich-text"/>
              </w:rPr>
              <w:t xml:space="preserve"> data for 2021–22 as follows:</w:t>
            </w:r>
          </w:p>
          <w:p>
            <w:pPr>
              <w:pStyle w:val="ListParagraph"/>
              <w:numPr>
                <w:ilvl w:val="0"/>
                <w:numId w:val="5"/>
              </w:numPr>
            </w:pPr>
            <w:r>
              <w:rPr>
                <w:rStyle w:val="row-content-rich-text"/>
              </w:rPr>
              <w:t xml:space="preserve">All states and territories considered the quality of their </w:t>
            </w:r>
            <w:r>
              <w:rPr>
                <w:rStyle w:val="row-content-rich-text"/>
                <w:i/>
              </w:rPr>
              <w:t xml:space="preserve">Indigenous status</w:t>
            </w:r>
            <w:r>
              <w:rPr>
                <w:rStyle w:val="row-content-rich-text"/>
              </w:rPr>
              <w:t xml:space="preserve"> data to be acceptable.</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rPr>
              <w:t xml:space="preserve">South Australia noted that technical limitations mean that the area of usual residence for the consumer is based on the consumer’s current address at the time data are reported to the AIHW, rather than when the actual contact was recorded.</w:t>
            </w:r>
          </w:p>
          <w:p>
            <w:pPr>
              <w:spacing w:after="160"/>
            </w:pPr>
            <w:r>
              <w:rPr>
                <w:rStyle w:val="row-content-rich-text"/>
                <w:b/>
                <w:i/>
              </w:rPr>
              <w:t xml:space="preserve">Mental health legal status</w:t>
            </w:r>
          </w:p>
          <w:p>
            <w:pPr/>
            <w:r>
              <w:rPr>
                <w:rStyle w:val="row-content-rich-text"/>
              </w:rPr>
              <w:t xml:space="preserve">Data on involuntary treatment of consumers is collected in the NCMHCD, however the quality of the data is unknown and should be treated with caution.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 following definitional changes occurred to the 2021–22 metadata specifications:</w:t>
            </w:r>
          </w:p>
          <w:p>
            <w:pPr>
              <w:pStyle w:val="ListParagraph"/>
              <w:numPr>
                <w:ilvl w:val="0"/>
                <w:numId w:val="6"/>
              </w:numPr>
            </w:pPr>
            <w:r>
              <w:rPr>
                <w:rStyle w:val="row-content-rich-text"/>
                <w:i/>
              </w:rPr>
              <w:t xml:space="preserve">Mental health legal status:</w:t>
            </w:r>
            <w:r>
              <w:rPr>
                <w:rStyle w:val="row-content-rich-text"/>
              </w:rPr>
              <w:t xml:space="preserve"> Definition updated to clarify that it includes whether a person is treated on an involuntary basis under the relevant state or territory mental health legislation at the time of contact for treatment as a patient/client by a community-based service</w:t>
            </w:r>
          </w:p>
          <w:p>
            <w:pPr>
              <w:spacing w:after="160"/>
            </w:pPr>
            <w:r>
              <w:rPr>
                <w:rStyle w:val="row-content-rich-text"/>
              </w:rPr>
              <w:t xml:space="preserve">There are variations across jurisdictions in the scope and definition of a service contact. For example, most jurisdictions may include consultation and liaison services as service contacts while some consultation-liaison type services provided by Tasmania are not included. Queensland and the Northern Territory do not include contacts for unregistered clients.</w:t>
            </w:r>
          </w:p>
          <w:p>
            <w:pPr>
              <w:spacing w:after="160"/>
            </w:pPr>
            <w:r>
              <w:rPr>
                <w:rStyle w:val="row-content-rich-text"/>
                <w:b/>
                <w:i/>
              </w:rPr>
              <w:t xml:space="preserve">Mental health legal status</w:t>
            </w:r>
          </w:p>
          <w:p>
            <w:pPr>
              <w:spacing w:after="160"/>
            </w:pPr>
            <w:r>
              <w:rPr>
                <w:rStyle w:val="row-content-rich-text"/>
              </w:rPr>
              <w:t xml:space="preserve">Reporting of service events with a Mental health legal status of involuntary differs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b/>
                <w:i/>
              </w:rPr>
              <w:t xml:space="preserve">Principal diagnosis</w:t>
            </w:r>
          </w:p>
          <w:p>
            <w:r>
              <w:rPr>
                <w:rStyle w:val="row-content"/>
              </w:rPr>
              <w:t xml:space="preserve">The most recent classification scheme is the 10</w:t>
            </w:r>
            <w:r>
              <w:rPr>
                <w:rStyle w:val="row-content"/>
                <w:vertAlign w:val="superscript"/>
              </w:rPr>
              <w:t xml:space="preserve">th</w:t>
            </w:r>
            <w:r>
              <w:rPr>
                <w:rStyle w:val="row-content"/>
              </w:rPr>
              <w:t xml:space="preserve"> Edition of the International Statistical Classification of Diseases and Relate Health Problems, Australian Modification (ICD-10-AM), Eleventh Revision.</w:t>
            </w:r>
          </w:p>
          <w:p>
            <w:pPr>
              <w:spacing w:after="160"/>
            </w:pPr>
            <w:r>
              <w:rPr>
                <w:rStyle w:val="row-content-rich-text"/>
              </w:rPr>
              <w:t xml:space="preserve">The quality of </w:t>
            </w:r>
            <w:r>
              <w:rPr>
                <w:rStyle w:val="row-content-rich-text"/>
                <w:i/>
              </w:rPr>
              <w:t xml:space="preserve">Principal diagnosis</w:t>
            </w:r>
            <w:r>
              <w:rPr>
                <w:rStyle w:val="row-content-rich-text"/>
              </w:rPr>
              <w:t xml:space="preserve"> data in the NCMHCD may be affected by the variability in collection and coding practices across jurisdictions. In particular, there are:</w:t>
            </w:r>
          </w:p>
          <w:p>
            <w:pPr>
              <w:spacing w:after="160"/>
            </w:pPr>
            <w:r>
              <w:rPr>
                <w:rStyle w:val="row-content-rich-text"/>
              </w:rPr>
              <w:t xml:space="preserve">1. Differences in the edition used for classification, as follows:</w:t>
            </w:r>
          </w:p>
          <w:p>
            <w:pPr>
              <w:pStyle w:val="ListParagraph"/>
              <w:numPr>
                <w:ilvl w:val="0"/>
                <w:numId w:val="7"/>
              </w:numPr>
            </w:pPr>
            <w:r>
              <w:rPr>
                <w:rStyle w:val="row-content-rich-text"/>
              </w:rPr>
              <w:t xml:space="preserve">New South Wales, South Australia, and Victoria report that data are submitted in accordance with the ICD-10-AM 11</w:t>
            </w:r>
            <w:r>
              <w:rPr>
                <w:rStyle w:val="row-content-rich-text"/>
                <w:vertAlign w:val="superscript"/>
              </w:rPr>
              <w:t xml:space="preserve">th</w:t>
            </w:r>
            <w:r>
              <w:rPr>
                <w:rStyle w:val="row-content-rich-text"/>
              </w:rPr>
              <w:t xml:space="preserve"> edition. </w:t>
            </w:r>
          </w:p>
          <w:p>
            <w:pPr>
              <w:pStyle w:val="ListParagraph"/>
              <w:numPr>
                <w:ilvl w:val="0"/>
                <w:numId w:val="7"/>
              </w:numPr>
            </w:pPr>
            <w:r>
              <w:rPr>
                <w:rStyle w:val="row-content-rich-text"/>
              </w:rPr>
              <w:t xml:space="preserve">Tasmania reported using ICD-10-AM 11</w:t>
            </w:r>
            <w:r>
              <w:rPr>
                <w:rStyle w:val="row-content-rich-text"/>
                <w:vertAlign w:val="superscript"/>
              </w:rPr>
              <w:t xml:space="preserve">th</w:t>
            </w:r>
            <w:r>
              <w:rPr>
                <w:rStyle w:val="row-content-rich-text"/>
              </w:rPr>
              <w:t xml:space="preserve"> edition where possible.</w:t>
            </w:r>
          </w:p>
          <w:p>
            <w:pPr>
              <w:pStyle w:val="ListParagraph"/>
              <w:numPr>
                <w:ilvl w:val="0"/>
                <w:numId w:val="7"/>
              </w:numPr>
            </w:pPr>
            <w:r>
              <w:rPr>
                <w:rStyle w:val="row-content-rich-text"/>
              </w:rPr>
              <w:t xml:space="preserve">The Northern Territory and Queensland used ICD-10-AM 10</w:t>
            </w:r>
            <w:r>
              <w:rPr>
                <w:rStyle w:val="row-content-rich-text"/>
                <w:vertAlign w:val="superscript"/>
              </w:rPr>
              <w:t xml:space="preserve">th</w:t>
            </w:r>
            <w:r>
              <w:rPr>
                <w:rStyle w:val="row-content-rich-text"/>
              </w:rPr>
              <w:t xml:space="preserve"> edition. </w:t>
            </w:r>
          </w:p>
          <w:p>
            <w:pPr>
              <w:pStyle w:val="ListParagraph"/>
              <w:numPr>
                <w:ilvl w:val="0"/>
                <w:numId w:val="7"/>
              </w:numPr>
            </w:pPr>
            <w:r>
              <w:rPr>
                <w:rStyle w:val="row-content-rich-text"/>
              </w:rPr>
              <w:t xml:space="preserve">Western Australia reported that current state-wide mental health information systems use ICD-10-AM 10</w:t>
            </w:r>
            <w:r>
              <w:rPr>
                <w:rStyle w:val="row-content-rich-text"/>
                <w:vertAlign w:val="superscript"/>
              </w:rPr>
              <w:t xml:space="preserve">th</w:t>
            </w:r>
            <w:r>
              <w:rPr>
                <w:rStyle w:val="row-content-rich-text"/>
              </w:rPr>
              <w:t xml:space="preserve"> edition. Patients who were activated prior to this version being implemented and have not had a diagnosis review may use an earlier ICD edition. As such, some mapping of previous ICD diagnosis codes are undertaken for the purposes of NMDS submissions.</w:t>
            </w:r>
          </w:p>
          <w:p>
            <w:pPr>
              <w:spacing w:after="160"/>
            </w:pPr>
            <w:r>
              <w:rPr>
                <w:rStyle w:val="row-content-rich-text"/>
              </w:rPr>
              <w:t xml:space="preserve">2. Differences in the availability of appropriately qualified clinicians to assign and record principal diagnoses (diagnoses are generally to be made by psychiatrists, whereas service contacts are mainly provided by non-psychiatrists).</w:t>
            </w:r>
          </w:p>
          <w:p>
            <w:pPr>
              <w:spacing w:after="160"/>
            </w:pPr>
            <w:r>
              <w:rPr>
                <w:rStyle w:val="row-content-rich-text"/>
              </w:rPr>
              <w:t xml:space="preserve">3. Differences according to whether the principal diagnosis is applied to an individual service contact or to a period of care.</w:t>
            </w:r>
          </w:p>
          <w:p>
            <w:pPr>
              <w:pStyle w:val="ListParagraph"/>
              <w:numPr>
                <w:ilvl w:val="0"/>
                <w:numId w:val="8"/>
              </w:numPr>
            </w:pPr>
            <w:r>
              <w:rPr>
                <w:rStyle w:val="row-content-rich-text"/>
              </w:rPr>
              <w:t xml:space="preserve">New South Wales and the Australian Capital Territory report the current diagnosis for each service contact rather than a principal diagnosis for a longer period of care.</w:t>
            </w:r>
          </w:p>
          <w:p>
            <w:pPr>
              <w:pStyle w:val="ListParagraph"/>
              <w:numPr>
                <w:ilvl w:val="0"/>
                <w:numId w:val="8"/>
              </w:numPr>
            </w:pPr>
            <w:r>
              <w:rPr>
                <w:rStyle w:val="row-content-rich-text"/>
              </w:rPr>
              <w:t xml:space="preserve">All other jurisdictions report principal diagnosis as applying to a longer period of care.</w:t>
            </w:r>
          </w:p>
          <w:p>
            <w:pPr>
              <w:spacing w:after="160"/>
            </w:pPr>
            <w:r>
              <w:rPr>
                <w:rStyle w:val="row-content-rich-text"/>
              </w:rPr>
              <w:t xml:space="preserve">4. Differences in the technology for recording principal diagnosis (for example, data systems using short lists may impact the use of specific diagnosis codes, such as F99 Mental disorder, not otherwise specified).</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2019–20, New South Wales reported reduced data coverage due to the introduction of a new system in the Justice Health network.</w:t>
            </w:r>
          </w:p>
          <w:p>
            <w:pPr>
              <w:spacing w:after="160"/>
            </w:pPr>
            <w:r>
              <w:rPr>
                <w:rStyle w:val="row-content-rich-text"/>
              </w:rPr>
              <w:t xml:space="preserve">Tasmania experienced industrial action which impacted the 2018–19 and part of the 2019–20 reporting periods.</w:t>
            </w:r>
          </w:p>
          <w:p>
            <w:r>
              <w:rPr>
                <w:rStyle w:val="row-content"/>
              </w:rPr>
              <w:t xml:space="preserve">Victoria noted that industrial action in 2020</w:t>
            </w:r>
            <w:r>
              <w:rPr>
                <w:rStyle w:val="row-content"/>
              </w:rPr>
              <w:t xml:space="preserve">–21</w:t>
            </w:r>
            <w:r>
              <w:rPr>
                <w:rStyle w:val="row-content"/>
              </w:rPr>
              <w:t xml:space="preserve"> affected the recording of some contacts, with 10% of contacts appearing in two consecutive months. </w:t>
            </w:r>
          </w:p>
          <w:p>
            <w:pPr>
              <w:spacing w:after="160"/>
            </w:pPr>
            <w:r>
              <w:rPr>
                <w:rStyle w:val="row-content-rich-text"/>
              </w:rPr>
              <w:t xml:space="preserve">In 2021–22, states and territories provided additional information as follows:</w:t>
            </w:r>
          </w:p>
          <w:p>
            <w:pPr>
              <w:pStyle w:val="ListParagraph"/>
              <w:numPr>
                <w:ilvl w:val="0"/>
                <w:numId w:val="9"/>
              </w:numPr>
            </w:pPr>
            <w:r>
              <w:rPr>
                <w:rStyle w:val="row-content-rich-text"/>
              </w:rPr>
              <w:t xml:space="preserve">Industrial action in Tasmania led to reduced recording of service data from March 2022 onwards.</w:t>
            </w:r>
          </w:p>
          <w:p>
            <w:pPr>
              <w:pStyle w:val="ListParagraph"/>
              <w:numPr>
                <w:ilvl w:val="0"/>
                <w:numId w:val="9"/>
              </w:numPr>
            </w:pPr>
            <w:r>
              <w:rPr>
                <w:rStyle w:val="row-content-rich-text"/>
              </w:rPr>
              <w:t xml:space="preserve">Industrial action in Victoria in 2021–22 affected recording of some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60551d7b864e0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83154bac3444b3">
              <w:r>
                <w:rPr>
                  <w:rStyle w:val="Hyperlink"/>
                </w:rPr>
                <w:t xml:space="preserve">Community mental health care NMDS 2020–21: National Community Mental Health Care Database, 2022; Quality Statement</w:t>
              </w:r>
            </w:hyperlink>
          </w:p>
          <w:p>
            <w:pPr>
              <w:spacing w:before="0" w:after="0"/>
            </w:pPr>
            <w:r>
              <w:rPr>
                <w:rStyle w:val="row-content"/>
                <w:color w:val="244061"/>
              </w:rPr>
              <w:t xml:space="preserve">       </w:t>
            </w:r>
            <w:hyperlink w:history="true" r:id="R8d1f35f6c1cf4168">
              <w:r>
                <w:rPr>
                  <w:rStyle w:val="Hyperlink"/>
                  <w:color w:val="244061"/>
                </w:rPr>
                <w:t xml:space="preserve">AIHW Data Quality Statements</w:t>
              </w:r>
            </w:hyperlink>
            <w:r>
              <w:rPr>
                <w:rStyle w:val="row-content"/>
                <w:color w:val="244061"/>
              </w:rPr>
              <w:t xml:space="preserve">, Superseded 08/12/2023</w:t>
            </w:r>
          </w:p>
          <w:p>
            <w:r>
              <w:br/>
            </w:r>
            <w:r>
              <w:rPr>
                <w:rStyle w:val="row-content"/>
              </w:rPr>
              <w:t xml:space="preserve">See also </w:t>
            </w:r>
            <w:hyperlink w:history="true" r:id="R82ba7545c4de4627">
              <w:r>
                <w:rPr>
                  <w:rStyle w:val="Hyperlink"/>
                </w:rPr>
                <w:t xml:space="preserve">Community mental health care NMDS 2021–22</w:t>
              </w:r>
            </w:hyperlink>
          </w:p>
          <w:p>
            <w:pPr>
              <w:spacing w:before="0" w:after="0"/>
            </w:pPr>
            <w:r>
              <w:rPr>
                <w:rStyle w:val="row-content"/>
                <w:color w:val="244061"/>
              </w:rPr>
              <w:t xml:space="preserve">       </w:t>
            </w:r>
            <w:hyperlink w:history="true" r:id="R21e6147d21ea456c">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d1d218c8d3f845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780645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bfdd6caf9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218c8d3f84598" /><Relationship Type="http://schemas.openxmlformats.org/officeDocument/2006/relationships/header" Target="/word/header1.xml" Id="R213123ebbe004bd2" /><Relationship Type="http://schemas.openxmlformats.org/officeDocument/2006/relationships/settings" Target="/word/settings.xml" Id="R0c2111a2e7a14270" /><Relationship Type="http://schemas.openxmlformats.org/officeDocument/2006/relationships/styles" Target="/word/styles.xml" Id="R80044cc8995945e8" /><Relationship Type="http://schemas.openxmlformats.org/officeDocument/2006/relationships/hyperlink" Target="https://meteor.aihw.gov.au/RegistrationAuthority/5" TargetMode="External" Id="Rf0543dc2cab44edc" /><Relationship Type="http://schemas.openxmlformats.org/officeDocument/2006/relationships/numbering" Target="/word/numbering.xml" Id="R0249e743fffd499d" /><Relationship Type="http://schemas.openxmlformats.org/officeDocument/2006/relationships/hyperlink" Target="https://meteor.aihw.gov.au/content/727348" TargetMode="External" Id="R86047ac548184e44" /><Relationship Type="http://schemas.openxmlformats.org/officeDocument/2006/relationships/hyperlink" Target="https://meteor.aihw.gov.au/content/727352" TargetMode="External" Id="R478eab6eaeb54317" /><Relationship Type="http://schemas.openxmlformats.org/officeDocument/2006/relationships/hyperlink" Target="https://www.legislation.gov.au/Series/C2004A03450" TargetMode="External" Id="R26fbd35619f6416c" /><Relationship Type="http://schemas.openxmlformats.org/officeDocument/2006/relationships/hyperlink" Target="https://www.aihw.gov.au/about-us/our-governance" TargetMode="External" Id="R99938738167e4a18" /><Relationship Type="http://schemas.openxmlformats.org/officeDocument/2006/relationships/hyperlink" Target="https://www.legislation.gov.au/series/C2011C00503" TargetMode="External" Id="R748771ebe7004dfc" /><Relationship Type="http://schemas.openxmlformats.org/officeDocument/2006/relationships/hyperlink" Target="http://www.aihw.gov.au/about-us" TargetMode="External" Id="R0143ff0ce27b4c7f" /><Relationship Type="http://schemas.openxmlformats.org/officeDocument/2006/relationships/hyperlink" Target="http://www.aihw.gov.au/about-us/our-governance" TargetMode="External" Id="Rfe5e2510e6384181" /><Relationship Type="http://schemas.openxmlformats.org/officeDocument/2006/relationships/hyperlink" Target="https://www.aihw.gov.au/about-us/what-we-do" TargetMode="External" Id="Ref0c83f990b84715" /><Relationship Type="http://schemas.openxmlformats.org/officeDocument/2006/relationships/hyperlink" Target="https://meteor.aihw.gov.au/content/182135" TargetMode="External" Id="R5a941c5279374b77" /><Relationship Type="http://schemas.openxmlformats.org/officeDocument/2006/relationships/hyperlink" Target="https://www.aihw.gov.au/mental-health/topic-areas/summary" TargetMode="External" Id="R6ec21b55fe394d4c" /><Relationship Type="http://schemas.openxmlformats.org/officeDocument/2006/relationships/hyperlink" Target="https://meteor.aihw.gov.au/content/181162" TargetMode="External" Id="Rbe816afa2bbd4fc5" /><Relationship Type="http://schemas.openxmlformats.org/officeDocument/2006/relationships/hyperlink" Target="https://meteor.aihw.gov.au/content/246013" TargetMode="External" Id="R3d60551d7b864e02" /><Relationship Type="http://schemas.openxmlformats.org/officeDocument/2006/relationships/hyperlink" Target="https://meteor.aihw.gov.au/content/764449" TargetMode="External" Id="R4783154bac3444b3" /><Relationship Type="http://schemas.openxmlformats.org/officeDocument/2006/relationships/hyperlink" Target="https://meteor.aihw.gov.au/RegistrationAuthority/5" TargetMode="External" Id="R8d1f35f6c1cf4168" /><Relationship Type="http://schemas.openxmlformats.org/officeDocument/2006/relationships/hyperlink" Target="https://meteor.aihw.gov.au/content/727348" TargetMode="External" Id="R82ba7545c4de4627" /><Relationship Type="http://schemas.openxmlformats.org/officeDocument/2006/relationships/hyperlink" Target="https://meteor.aihw.gov.au/RegistrationAuthority/12" TargetMode="External" Id="R21e6147d21ea456c" /></Relationships>
</file>

<file path=word/_rels/header1.xml.rels>&#65279;<?xml version="1.0" encoding="utf-8"?><Relationships xmlns="http://schemas.openxmlformats.org/package/2006/relationships"><Relationship Type="http://schemas.openxmlformats.org/officeDocument/2006/relationships/image" Target="/media/image.png" Id="Rbffbfdd6caf9446e" /></Relationships>
</file>