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7b25e7a5e07f4651" /></Relationships>
</file>

<file path=word/document.xml><?xml version="1.0" encoding="utf-8"?>
<w:document xmlns:r="http://schemas.openxmlformats.org/officeDocument/2006/relationships" xmlns:w="http://schemas.openxmlformats.org/wordprocessingml/2006/main">
  <w:body>
    <w:p>
      <w:pPr>
        <w:pStyle w:val="Title"/>
      </w:pPr>
      <w:r>
        <w:t>Indigenous-specific primary health care: PI02a-Number of Indigenous babies born within the previous 12 months who attended the organisation more than once, and who have a birthweight result within a specified category, December 2022</w:t>
      </w:r>
    </w:p>
    <w:p>
      <w:pPr>
        <w:pStyle w:val="Subtitle"/>
      </w:pPr>
      <w:r>
        <w:t>Exported from METEOR</w:t>
      </w:r>
    </w:p>
    <w:p>
      <w:pPr>
        <w:pStyle w:val="Subtitle"/>
        <w:spacing w:after="20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Indigenous-specific primary health care: PI02a-Number of Indigenous babies born within the previous 12 months who attended the organisation more than once, and who have a birthweight result within a specified category, December 2022</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type:</w:t>
            </w:r>
          </w:p>
        </w:tc>
        <w:tc>
          <w:tcPr>
            <w:tcBorders>
              <w:top w:val="none" w:color="000000" w:sz="0"/>
              <w:left w:val="none" w:color="000000" w:sz="0"/>
              <w:bottom w:val="none" w:color="000000" w:sz="0"/>
              <w:right w:val="none" w:color="000000" w:sz="0"/>
            </w:tcBorders>
            <w:vAlign w:val="top"/>
          </w:tcPr>
          <w:p>
            <w:r>
              <w:t xml:space="preserve">Output measure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indicator"/>
              </w:rPr>
              <w:t xml:space="preserve">PI02a-Number of Indigenous babies born within the previous 12 months who attended the organisation more than once, and who have a birthweight result within a specified category, December 2022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779030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ff583f157c1c4ecc">
              <w:r>
                <w:rPr>
                  <w:rStyle w:val="Hyperlink"/>
                  <w:color w:val="244061"/>
                </w:rPr>
                <w:t xml:space="preserve">Indigenous</w:t>
              </w:r>
            </w:hyperlink>
            <w:r>
              <w:rPr>
                <w:rStyle w:val="row-content"/>
                <w:color w:val="244061"/>
              </w:rPr>
              <w:t xml:space="preserve">, Superseded 18/12/2023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Description: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Number of Indigenous babies born within the previous 12 months who attended the </w:t>
            </w:r>
            <w:hyperlink w:tooltip="Funded organisation refers to an Indigenous-specific primary health care organisation or maternal and child health program/service funded by the Department of Health and Aged Care under its Indigenous Australians' Health Programme (IAHP)." w:history="true" r:id="R80dbe2756bfa4111">
              <w:r>
                <w:rPr>
                  <w:rStyle w:val="Hyperlink"/>
                  <w:b/>
                </w:rPr>
                <w:t xml:space="preserve">funded organisation</w:t>
              </w:r>
            </w:hyperlink>
            <w:r>
              <w:rPr>
                <w:rStyle w:val="row-content-rich-text"/>
              </w:rPr>
              <w:t xml:space="preserve"> more than once, and whose </w:t>
            </w:r>
            <w:hyperlink w:tooltip="The first weight of a live born or stillborn baby obtained after birth. The World Health Organization further defines the following categories:&#10;extremely low birthweight: less than 1,000 grams (up to and including 999 grams),&#10;very low birthweight: l..." w:history="true" r:id="R3f17cd82a1864b69">
              <w:r>
                <w:rPr>
                  <w:rStyle w:val="Hyperlink"/>
                  <w:b/>
                </w:rPr>
                <w:t xml:space="preserve">birthweight</w:t>
              </w:r>
            </w:hyperlink>
            <w:r>
              <w:rPr>
                <w:rStyle w:val="row-content-rich-text"/>
              </w:rPr>
              <w:t xml:space="preserve"> result was:</w:t>
            </w:r>
          </w:p>
          <w:p>
            <w:pPr>
              <w:pStyle w:val="ListParagraph"/>
              <w:numPr>
                <w:ilvl w:val="0"/>
                <w:numId w:val="2"/>
              </w:numPr>
            </w:pPr>
            <w:r>
              <w:rPr>
                <w:rStyle w:val="row-content-rich-text"/>
              </w:rPr>
              <w:t xml:space="preserve">low (less than 2,500 grams)</w:t>
            </w:r>
          </w:p>
          <w:p>
            <w:pPr>
              <w:pStyle w:val="ListParagraph"/>
              <w:numPr>
                <w:ilvl w:val="0"/>
                <w:numId w:val="2"/>
              </w:numPr>
            </w:pPr>
            <w:r>
              <w:rPr>
                <w:rStyle w:val="row-content-rich-text"/>
              </w:rPr>
              <w:t xml:space="preserve">normal (2,500 grams to less than 4,500 grams)</w:t>
            </w:r>
          </w:p>
          <w:p>
            <w:pPr>
              <w:pStyle w:val="ListParagraph"/>
              <w:numPr>
                <w:ilvl w:val="0"/>
                <w:numId w:val="2"/>
              </w:numPr>
            </w:pPr>
            <w:r>
              <w:rPr>
                <w:rStyle w:val="row-content-rich-text"/>
              </w:rPr>
              <w:t xml:space="preserve">high (4,500 grams and over).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Rationale:</w:t>
            </w:r>
          </w:p>
        </w:tc>
        <w:tc>
          <w:tcPr>
            <w:tcBorders>
              <w:top w:val="none" w:color="000000" w:sz="0"/>
              <w:left w:val="none" w:color="000000" w:sz="0"/>
              <w:bottom w:val="none" w:color="000000" w:sz="0"/>
              <w:right w:val="none" w:color="000000" w:sz="0"/>
            </w:tcBorders>
            <w:vAlign w:val="top"/>
          </w:tcPr>
          <w:p>
            <w:pPr/>
            <w:r>
              <w:rPr>
                <w:rStyle w:val="row-content-rich-text"/>
              </w:rPr>
              <w:t xml:space="preserve">Birthweight is a key indicator of a baby’s immediate health and a determinant of their future health. Measuring birthweight allows infants to be given early and suitable intervention, which can mitigate adverse outcomes.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set:</w:t>
            </w:r>
          </w:p>
        </w:tc>
        <w:tc>
          <w:tcPr>
            <w:tcBorders>
              <w:top w:val="none" w:color="000000" w:sz="0"/>
              <w:left w:val="none" w:color="000000" w:sz="0"/>
              <w:bottom w:val="none" w:color="000000" w:sz="0"/>
              <w:right w:val="none" w:color="000000" w:sz="0"/>
            </w:tcBorders>
            <w:vAlign w:val="top"/>
          </w:tcPr>
          <w:p>
            <w:hyperlink w:history="true" r:id="Re38cda62c4db4625">
              <w:r>
                <w:rPr>
                  <w:rStyle w:val="Hyperlink"/>
                </w:rPr>
                <w:t xml:space="preserve">Indigenous-specific primary health care national key performance indicators December 2022</w:t>
              </w:r>
            </w:hyperlink>
          </w:p>
          <w:p>
            <w:pPr>
              <w:pStyle w:val="registration-status"/>
              <w:spacing w:before="0" w:after="0"/>
            </w:pPr>
            <w:hyperlink w:history="true" r:id="Rc563d1fff4d44fce">
              <w:r>
                <w:rPr>
                  <w:rStyle w:val="Hyperlink"/>
                  <w:color w:val="244061"/>
                </w:rPr>
                <w:t xml:space="preserve">Indigenous</w:t>
              </w:r>
            </w:hyperlink>
            <w:r>
              <w:rPr>
                <w:rStyle w:val="row-content"/>
                <w:color w:val="244061"/>
              </w:rPr>
              <w:t xml:space="preserve">, Superseded 18/12/2023</w:t>
            </w:r>
          </w:p>
          <w:p>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 description: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Count of Indigenous babies born within the previous 12 months who attended the funded organisation more than once, and whose birthweight result was:</w:t>
            </w:r>
          </w:p>
          <w:p>
            <w:pPr>
              <w:pStyle w:val="ListParagraph"/>
              <w:numPr>
                <w:ilvl w:val="0"/>
                <w:numId w:val="3"/>
              </w:numPr>
            </w:pPr>
            <w:r>
              <w:rPr>
                <w:rStyle w:val="row-content-rich-text"/>
              </w:rPr>
              <w:t xml:space="preserve">low (less than 2,500 grams)</w:t>
            </w:r>
          </w:p>
          <w:p>
            <w:pPr>
              <w:pStyle w:val="ListParagraph"/>
              <w:numPr>
                <w:ilvl w:val="0"/>
                <w:numId w:val="3"/>
              </w:numPr>
            </w:pPr>
            <w:r>
              <w:rPr>
                <w:rStyle w:val="row-content-rich-text"/>
              </w:rPr>
              <w:t xml:space="preserve">normal (2,500 grams to less than 4,500 grams)</w:t>
            </w:r>
          </w:p>
          <w:p>
            <w:pPr>
              <w:pStyle w:val="ListParagraph"/>
              <w:numPr>
                <w:ilvl w:val="0"/>
                <w:numId w:val="3"/>
              </w:numPr>
            </w:pPr>
            <w:r>
              <w:rPr>
                <w:rStyle w:val="row-content-rich-text"/>
              </w:rPr>
              <w:t xml:space="preserve">high (4,500 grams and over).</w:t>
            </w:r>
          </w:p>
          <w:p>
            <w:pPr>
              <w:spacing w:after="160"/>
            </w:pPr>
            <w:r>
              <w:rPr>
                <w:rStyle w:val="row-content-rich-text"/>
              </w:rPr>
              <w:t xml:space="preserve">Presented as a number.</w:t>
            </w:r>
          </w:p>
          <w:p>
            <w:pPr>
              <w:spacing w:after="160"/>
            </w:pPr>
            <w:r>
              <w:rPr>
                <w:rStyle w:val="row-content-rich-text"/>
              </w:rPr>
              <w:t xml:space="preserve">Birthweight: defined as the first weight of a baby obtained after birth. Include only live births. Exclude unknown birthweight. The birthweight is to be taken from the baby’s client record where available. Where the birthweight is not recorded in the baby’s client record, the mother’s record may be used as a source of birth details. The weight recorded must be the baby’s weight at birth.</w:t>
            </w:r>
          </w:p>
          <w:p>
            <w:pPr>
              <w:spacing w:after="160"/>
            </w:pPr>
            <w:r>
              <w:rPr>
                <w:rStyle w:val="row-content-rich-text"/>
              </w:rPr>
              <w:t xml:space="preserve">Attended the organisation more than once: count attendance using the baby’s client record only. Exclude babies who only attended before birth as part of the mother’s antenatal care.</w:t>
            </w:r>
          </w:p>
          <w:p>
            <w:pPr>
              <w:spacing w:after="160"/>
            </w:pPr>
            <w:r>
              <w:rPr>
                <w:rStyle w:val="row-content-rich-text"/>
              </w:rPr>
              <w:t xml:space="preserve">Previous 12 months: refers to the previous financial year or previous calendar year.</w:t>
            </w:r>
          </w:p>
          <w:p>
            <w:pPr/>
            <w:r>
              <w:rPr>
                <w:rStyle w:val="row-content-rich-text"/>
              </w:rPr>
              <w:t xml:space="preserve">Include: results arising from measurements conducted outside of the organisation that are known by the organisation. For example, birthweight recorded in the baby’s medical record at the organisation, or received from sharing client data with other organisations, such as a hospital.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w:t>
            </w:r>
          </w:p>
        </w:tc>
        <w:tc>
          <w:tcPr>
            <w:tcBorders>
              <w:top w:val="none" w:color="000000" w:sz="0"/>
              <w:left w:val="none" w:color="000000" w:sz="0"/>
              <w:bottom w:val="none" w:color="000000" w:sz="0"/>
              <w:right w:val="none" w:color="000000" w:sz="0"/>
            </w:tcBorders>
            <w:vAlign w:val="top"/>
          </w:tcPr>
          <w:p>
            <w:pPr/>
            <w:r>
              <w:rPr>
                <w:rStyle w:val="row-content-rich-text"/>
              </w:rPr>
              <w:t xml:space="preserve">Numerator only.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Numerator:</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Calculation A: Number of Indigenous babies born within the previous 12 months who attended the funded organisation more than once, and whose birthweight result was categorised as low (less than 2,500 grams).</w:t>
            </w:r>
          </w:p>
          <w:p>
            <w:pPr>
              <w:spacing w:after="160"/>
            </w:pPr>
            <w:r>
              <w:rPr>
                <w:rStyle w:val="row-content-rich-text"/>
              </w:rPr>
              <w:t xml:space="preserve">Calculation B: Number of Indigenous babies born within the previous 12 months who attended the funded organisation more than once, and whose birthweight result was categorised as normal (2,500 grams to less than 4,500 grams).</w:t>
            </w:r>
          </w:p>
          <w:p>
            <w:pPr/>
            <w:r>
              <w:rPr>
                <w:rStyle w:val="row-content-rich-text"/>
              </w:rPr>
              <w:t xml:space="preserve">Calculation C: Number of Indigenous babies born within the previous 12 months who attended the funded organisation more than once, and whose birthweight result was categorised as high (4,500 grams and over).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Numerator data elements: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Element / Data Set</w:t>
            </w:r>
          </w:p>
          <w:p>
            <w:hyperlink w:history="true" r:id="Rcdd4104b02144437">
              <w:r>
                <w:rPr>
                  <w:rStyle w:val="Hyperlink"/>
                </w:rPr>
                <w:t xml:space="preserve">Service provider organisation—number of service contacts, total N[NNNNN]</w:t>
              </w:r>
            </w:hyperlink>
          </w:p>
          <w:p>
            <w:r>
              <w:rPr>
                <w:rStyle w:val="row-content"/>
                <w:b/>
              </w:rPr>
              <w:t xml:space="preserve">Data Source</w:t>
            </w:r>
          </w:p>
          <w:p>
            <w:hyperlink w:history="true" r:id="R193224b472254988">
              <w:r>
                <w:rPr>
                  <w:rStyle w:val="Hyperlink"/>
                </w:rPr>
                <w:t xml:space="preserve">Aboriginal and Torres Strait Islander specific primary health care national Key Performance Indicators (nKPI) data collection</w:t>
              </w:r>
            </w:hyperlink>
          </w:p>
          <w:p>
            <w:r>
              <w:rPr>
                <w:rStyle w:val="row-content"/>
                <w:b/>
              </w:rPr>
              <w:t xml:space="preserve">NMDS / DSS</w:t>
            </w:r>
          </w:p>
          <w:p>
            <w:hyperlink w:history="true" r:id="Rf19fcbf4b1be43a8">
              <w:r>
                <w:rPr>
                  <w:rStyle w:val="Hyperlink"/>
                </w:rPr>
                <w:t xml:space="preserve">Indigenous-specific primary health care NBEDS December 2022</w:t>
              </w:r>
            </w:hyperlink>
          </w:p>
          <w:p>
            <w:r>
              <w:rPr>
                <w:rStyle w:val="row-content"/>
                <w:b/>
              </w:rPr>
              <w:t xml:space="preserve">Guide for use</w:t>
            </w:r>
          </w:p>
          <w:p>
            <w:r>
              <w:rPr>
                <w:rStyle w:val="row-content"/>
              </w:rPr>
              <w:t xml:space="preserve">Babies are included if they had more than one service contact.</w:t>
            </w:r>
          </w:p>
          <w:p>
            <w:r>
              <w:rPr>
                <w:rStyle w:val="row-content"/>
              </w:rPr>
              <w:t xml:space="preserve"> </w:t>
            </w:r>
          </w:p>
          <w:p>
            <w:r>
              <w:rPr>
                <w:rStyle w:val="row-content"/>
                <w:b/>
                <w:color w:val="000000"/>
              </w:rPr>
              <w:t xml:space="preserve">Data Element / Data Set</w:t>
            </w:r>
          </w:p>
          <w:p>
            <w:hyperlink w:history="true" r:id="Rea0f07759ccd46a7">
              <w:r>
                <w:rPr>
                  <w:rStyle w:val="Hyperlink"/>
                </w:rPr>
                <w:t xml:space="preserve">Person—Indigenous status, code N</w:t>
              </w:r>
            </w:hyperlink>
          </w:p>
          <w:p>
            <w:r>
              <w:rPr>
                <w:rStyle w:val="row-content"/>
                <w:b/>
              </w:rPr>
              <w:t xml:space="preserve">Data Source</w:t>
            </w:r>
          </w:p>
          <w:p>
            <w:hyperlink w:history="true" r:id="Rbe5aeff68c644278">
              <w:r>
                <w:rPr>
                  <w:rStyle w:val="Hyperlink"/>
                </w:rPr>
                <w:t xml:space="preserve">Aboriginal and Torres Strait Islander specific primary health care national Key Performance Indicators (nKPI) data collection</w:t>
              </w:r>
            </w:hyperlink>
          </w:p>
          <w:p>
            <w:r>
              <w:rPr>
                <w:rStyle w:val="row-content"/>
                <w:b/>
              </w:rPr>
              <w:t xml:space="preserve">NMDS / DSS</w:t>
            </w:r>
          </w:p>
          <w:p>
            <w:hyperlink w:history="true" r:id="R411dcd3328e44f73">
              <w:r>
                <w:rPr>
                  <w:rStyle w:val="Hyperlink"/>
                </w:rPr>
                <w:t xml:space="preserve">Indigenous-specific primary health care NBEDS December 2022</w:t>
              </w:r>
            </w:hyperlink>
          </w:p>
          <w:p>
            <w:r>
              <w:rPr>
                <w:rStyle w:val="row-content"/>
                <w:b/>
              </w:rPr>
              <w:t xml:space="preserve">Guide for use</w:t>
            </w:r>
          </w:p>
          <w:p>
            <w:r>
              <w:rPr>
                <w:rStyle w:val="row-content"/>
              </w:rPr>
              <w:t xml:space="preserve">The baby is considered Indigenous if one or both parents identify as Indigenous.</w:t>
            </w:r>
          </w:p>
          <w:p>
            <w:r>
              <w:rPr>
                <w:rStyle w:val="row-content"/>
              </w:rPr>
              <w:t xml:space="preserve"> </w:t>
            </w:r>
          </w:p>
          <w:p>
            <w:r>
              <w:rPr>
                <w:rStyle w:val="row-content"/>
                <w:b/>
                <w:color w:val="000000"/>
              </w:rPr>
              <w:t xml:space="preserve">Data Element / Data Set</w:t>
            </w:r>
          </w:p>
          <w:p>
            <w:hyperlink w:history="true" r:id="R9a8321a3fa4d40ba">
              <w:r>
                <w:rPr>
                  <w:rStyle w:val="Hyperlink"/>
                </w:rPr>
                <w:t xml:space="preserve">Product of birth—birthweight, code N</w:t>
              </w:r>
            </w:hyperlink>
          </w:p>
          <w:p>
            <w:r>
              <w:rPr>
                <w:rStyle w:val="row-content"/>
                <w:b/>
              </w:rPr>
              <w:t xml:space="preserve">Data Source</w:t>
            </w:r>
          </w:p>
          <w:p>
            <w:hyperlink w:history="true" r:id="R36d5dbc0c2064c88">
              <w:r>
                <w:rPr>
                  <w:rStyle w:val="Hyperlink"/>
                </w:rPr>
                <w:t xml:space="preserve">Aboriginal and Torres Strait Islander specific primary health care national Key Performance Indicators (nKPI) data collection</w:t>
              </w:r>
            </w:hyperlink>
          </w:p>
          <w:p>
            <w:r>
              <w:rPr>
                <w:rStyle w:val="row-content"/>
                <w:b/>
              </w:rPr>
              <w:t xml:space="preserve">NMDS / DSS</w:t>
            </w:r>
          </w:p>
          <w:p>
            <w:hyperlink w:history="true" r:id="R9801017c3b734f91">
              <w:r>
                <w:rPr>
                  <w:rStyle w:val="Hyperlink"/>
                </w:rPr>
                <w:t xml:space="preserve">Indigenous-specific primary health care NBEDS December 2022</w:t>
              </w:r>
            </w:hyperlink>
          </w:p>
          <w:p>
            <w:r>
              <w:rPr>
                <w:rStyle w:val="row-content"/>
                <w:b/>
              </w:rPr>
              <w:t xml:space="preserve">Guide for use</w:t>
            </w:r>
          </w:p>
          <w:p>
            <w:r>
              <w:rPr>
                <w:rStyle w:val="row-content"/>
              </w:rPr>
              <w:t xml:space="preserve">Low, normal and high birthweight only.</w:t>
            </w:r>
          </w:p>
          <w:p>
            <w:r>
              <w:rPr>
                <w:rStyle w:val="row-content"/>
              </w:rPr>
              <w:t xml:space="preserve"> </w:t>
            </w:r>
          </w:p>
          <w:p>
            <w:r>
              <w:rPr>
                <w:rStyle w:val="row-content"/>
                <w:b/>
                <w:color w:val="000000"/>
              </w:rPr>
              <w:t xml:space="preserve">Data Element / Data Set</w:t>
            </w:r>
          </w:p>
          <w:p>
            <w:hyperlink w:history="true" r:id="Rb459addd39a243bc">
              <w:r>
                <w:rPr>
                  <w:rStyle w:val="Hyperlink"/>
                </w:rPr>
                <w:t xml:space="preserve">Product of birth—birth status, code N</w:t>
              </w:r>
            </w:hyperlink>
          </w:p>
          <w:p>
            <w:r>
              <w:rPr>
                <w:rStyle w:val="row-content"/>
                <w:b/>
              </w:rPr>
              <w:t xml:space="preserve">Data Source</w:t>
            </w:r>
          </w:p>
          <w:p>
            <w:hyperlink w:history="true" r:id="Rb61b5f04d75c4348">
              <w:r>
                <w:rPr>
                  <w:rStyle w:val="Hyperlink"/>
                </w:rPr>
                <w:t xml:space="preserve">Aboriginal and Torres Strait Islander specific primary health care national Key Performance Indicators (nKPI) data collection</w:t>
              </w:r>
            </w:hyperlink>
          </w:p>
          <w:p>
            <w:r>
              <w:rPr>
                <w:rStyle w:val="row-content"/>
                <w:b/>
              </w:rPr>
              <w:t xml:space="preserve">NMDS / DSS</w:t>
            </w:r>
          </w:p>
          <w:p>
            <w:hyperlink w:history="true" r:id="R8f13e101047c401f">
              <w:r>
                <w:rPr>
                  <w:rStyle w:val="Hyperlink"/>
                </w:rPr>
                <w:t xml:space="preserve">Indigenous-specific primary health care NBEDS December 2022</w:t>
              </w:r>
            </w:hyperlink>
          </w:p>
          <w:p>
            <w:r>
              <w:rPr>
                <w:rStyle w:val="row-content"/>
                <w:b/>
              </w:rPr>
              <w:t xml:space="preserve">Guide for use</w:t>
            </w:r>
          </w:p>
          <w:p>
            <w:r>
              <w:rPr>
                <w:rStyle w:val="row-content"/>
              </w:rPr>
              <w:t xml:space="preserve">Only live births are included.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r>
              <w:rPr>
                <w:rStyle w:val="row-content-rich-text"/>
              </w:rPr>
              <w:t xml:space="preserve">Census date for reporting is 31 December 2022.</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Borders>
              <w:top w:val="none" w:color="000000" w:sz="0"/>
              <w:left w:val="none" w:color="000000" w:sz="0"/>
              <w:bottom w:val="none" w:color="000000" w:sz="0"/>
              <w:right w:val="none" w:color="000000" w:sz="0"/>
            </w:tcBorders>
            <w:vAlign w:val="top"/>
          </w:tcPr>
          <w:p>
            <w:r>
              <w:t xml:space="preserve">Count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Borders>
              <w:top w:val="none" w:color="000000" w:sz="0"/>
              <w:left w:val="none" w:color="000000" w:sz="0"/>
              <w:bottom w:val="none" w:color="000000" w:sz="0"/>
              <w:right w:val="none" w:color="000000" w:sz="0"/>
            </w:tcBorders>
            <w:vAlign w:val="top"/>
          </w:tcPr>
          <w:p>
            <w:r>
              <w:t xml:space="preserve">Real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Unit of measure:</w:t>
            </w:r>
          </w:p>
        </w:tc>
        <w:tc>
          <w:tcPr>
            <w:tcBorders>
              <w:top w:val="none" w:color="000000" w:sz="0"/>
              <w:left w:val="none" w:color="000000" w:sz="0"/>
              <w:bottom w:val="none" w:color="000000" w:sz="0"/>
              <w:right w:val="none" w:color="000000" w:sz="0"/>
            </w:tcBorders>
            <w:vAlign w:val="top"/>
          </w:tcPr>
          <w:p>
            <w:r>
              <w:t xml:space="preserve">Person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Borders>
              <w:top w:val="none" w:color="000000" w:sz="0"/>
              <w:left w:val="none" w:color="000000" w:sz="0"/>
              <w:bottom w:val="none" w:color="000000" w:sz="0"/>
              <w:right w:val="none" w:color="000000" w:sz="0"/>
            </w:tcBorders>
            <w:vAlign w:val="top"/>
          </w:tcPr>
          <w:p>
            <w:pPr/>
            <w:r>
              <w:rPr>
                <w:rStyle w:val="row-content-rich-text"/>
              </w:rPr>
              <w:t xml:space="preserve">N[N(6)]</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Indicator conceptual framework</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Framework and dimensions:</w:t>
            </w:r>
          </w:p>
        </w:tc>
        <w:tc>
          <w:tcPr>
            <w:tcBorders>
              <w:top w:val="none" w:color="000000" w:sz="0"/>
              <w:left w:val="none" w:color="000000" w:sz="0"/>
              <w:bottom w:val="none" w:color="000000" w:sz="0"/>
              <w:right w:val="none" w:color="000000" w:sz="0"/>
            </w:tcBorders>
            <w:vAlign w:val="top"/>
          </w:tcPr>
          <w:p>
            <w:hyperlink w:history="true" r:id="R50ce68c899bf4d8f">
              <w:r>
                <w:rPr>
                  <w:rStyle w:val="Hyperlink"/>
                </w:rPr>
                <w:t xml:space="preserve">Health Conditions</w:t>
              </w:r>
            </w:hyperlink>
            <w:r>
              <w:br/>
            </w:r>
            <w:r>
              <w:rPr>
                <w:rStyle w:val="row-content"/>
              </w:rP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Data source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sources: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Source</w:t>
            </w:r>
          </w:p>
          <w:p>
            <w:hyperlink w:history="true" r:id="R7492b75e2e1f4361">
              <w:r>
                <w:rPr>
                  <w:rStyle w:val="Hyperlink"/>
                </w:rPr>
                <w:t xml:space="preserve">Aboriginal and Torres Strait Islander specific primary health care national Key Performance Indicators (nKPI) data collection</w:t>
              </w:r>
            </w:hyperlink>
          </w:p>
          <w:p>
            <w:r>
              <w:rPr>
                <w:rStyle w:val="row-content"/>
                <w:b/>
              </w:rPr>
              <w:t xml:space="preserve">Frequency</w:t>
            </w:r>
          </w:p>
          <w:p>
            <w:r>
              <w:rPr>
                <w:rStyle w:val="row-content"/>
              </w:rPr>
              <w:t xml:space="preserve">6 monthly</w:t>
            </w:r>
          </w:p>
          <w:p>
            <w:r>
              <w:rPr>
                <w:rStyle w:val="row-content"/>
                <w:b/>
              </w:rPr>
              <w:t xml:space="preserve">Data custodian</w:t>
            </w:r>
          </w:p>
          <w:p>
            <w:r>
              <w:rPr>
                <w:rStyle w:val="row-content"/>
              </w:rPr>
              <w:t xml:space="preserve">Australian Institute of Health and Welfare.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Accountability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Reporting requirements:</w:t>
            </w:r>
          </w:p>
        </w:tc>
        <w:tc>
          <w:tcPr>
            <w:tcBorders>
              <w:top w:val="none" w:color="000000" w:sz="0"/>
              <w:left w:val="none" w:color="000000" w:sz="0"/>
              <w:bottom w:val="none" w:color="000000" w:sz="0"/>
              <w:right w:val="none" w:color="000000" w:sz="0"/>
            </w:tcBorders>
            <w:vAlign w:val="top"/>
          </w:tcPr>
          <w:p>
            <w:pPr/>
            <w:r>
              <w:rPr>
                <w:rStyle w:val="row-content-rich-text"/>
              </w:rPr>
              <w:t xml:space="preserve">Funding agreements between the Department of Health and Aged Care (DHAC) and the organisations funded under the Indigenous Australians' Health Programme (IAHP).</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Organisation responsible for providing data:</w:t>
            </w:r>
          </w:p>
        </w:tc>
        <w:tc>
          <w:tcPr>
            <w:tcBorders>
              <w:top w:val="none" w:color="000000" w:sz="0"/>
              <w:left w:val="none" w:color="000000" w:sz="0"/>
              <w:bottom w:val="none" w:color="000000" w:sz="0"/>
              <w:right w:val="none" w:color="000000" w:sz="0"/>
            </w:tcBorders>
            <w:vAlign w:val="top"/>
          </w:tcPr>
          <w:p>
            <w:pPr/>
            <w:r>
              <w:rPr>
                <w:rStyle w:val="row-content-rich-text"/>
              </w:rPr>
              <w:t xml:space="preserve">Indigenous-specific primary health care organisations or maternal and child health programs/services funded by the DHAC under its IAHP, referred to as </w:t>
            </w:r>
            <w:hyperlink w:tooltip="Funded organisation refers to an Indigenous-specific primary health care organisation or maternal and child health program/service funded by the Department of Health and Aged Care under its Indigenous Australians' Health Programme (IAHP)." w:history="true" r:id="Re8e1071726e74dd1">
              <w:r>
                <w:rPr>
                  <w:rStyle w:val="Hyperlink"/>
                  <w:b/>
                </w:rPr>
                <w:t xml:space="preserve">funded organisations</w:t>
              </w:r>
            </w:hyperlink>
            <w:r>
              <w:rPr>
                <w:rStyle w:val="row-content-rich-text"/>
              </w:rPr>
              <w:t xml:space="preserv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Accountability:</w:t>
            </w:r>
          </w:p>
        </w:tc>
        <w:tc>
          <w:tcPr>
            <w:tcBorders>
              <w:top w:val="none" w:color="000000" w:sz="0"/>
              <w:left w:val="none" w:color="000000" w:sz="0"/>
              <w:bottom w:val="none" w:color="000000" w:sz="0"/>
              <w:right w:val="none" w:color="000000" w:sz="0"/>
            </w:tcBorders>
            <w:vAlign w:val="top"/>
          </w:tcPr>
          <w:p>
            <w:pPr/>
            <w:r>
              <w:rPr>
                <w:rStyle w:val="row-content-rich-text"/>
              </w:rPr>
              <w:t xml:space="preserve">Australian Institute of Health and Welfare/Department of Health and Aged Care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gridSpan w:val="2"/>
            <w:tcBorders>
              <w:top w:val="none" w:color="000000" w:sz="0"/>
              <w:left w:val="none" w:color="000000" w:sz="0"/>
              <w:bottom w:val="none" w:color="000000" w:sz="0"/>
              <w:right w:val="none" w:color="000000" w:sz="0"/>
            </w:tcBorders>
            <w:vAlign w:val="top"/>
            <w:tcMar>
              <w:top w:w="300"/>
              <w:bottom w:w="100"/>
            </w:tcMar>
          </w:tcPr>
          <w:p>
            <w:pPr>
              <w:pStyle w:val="Heading2"/>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9c1cd529432f4ff8">
              <w:r>
                <w:rPr>
                  <w:rStyle w:val="Hyperlink"/>
                </w:rPr>
                <w:t xml:space="preserve">Indigenous-specific primary health care: PI02a-Number of Indigenous babies born within the previous 12 months who attended the organisation more than once, and who have a birthweight result within a specified category, June 2022</w:t>
              </w:r>
            </w:hyperlink>
          </w:p>
          <w:p>
            <w:pPr>
              <w:pStyle w:val="registration-status"/>
              <w:spacing w:before="0" w:after="0"/>
            </w:pPr>
            <w:hyperlink w:history="true" r:id="R317d4d2b63fc4ea9">
              <w:r>
                <w:rPr>
                  <w:rStyle w:val="Hyperlink"/>
                  <w:color w:val="244061"/>
                </w:rPr>
                <w:t xml:space="preserve">Indigenous</w:t>
              </w:r>
            </w:hyperlink>
            <w:r>
              <w:rPr>
                <w:rStyle w:val="row-content"/>
                <w:color w:val="244061"/>
              </w:rPr>
              <w:t xml:space="preserve">, Superseded 27/08/2023</w:t>
            </w:r>
          </w:p>
          <w:p>
            <w:r>
              <w:br/>
            </w:r>
            <w:r>
              <w:rPr>
                <w:rStyle w:val="row-content"/>
              </w:rPr>
              <w:t xml:space="preserve">Has been superseded by </w:t>
            </w:r>
            <w:hyperlink w:history="true" r:id="Red3c87d1ee0a4c3e">
              <w:r>
                <w:rPr>
                  <w:rStyle w:val="Hyperlink"/>
                </w:rPr>
                <w:t xml:space="preserve">Indigenous-specific primary health care: PI02a-Number of Indigenous babies born within the previous 12 months who attended the organisation more than once, and who have a birthweight result within a specified category, June 2023</w:t>
              </w:r>
            </w:hyperlink>
          </w:p>
          <w:p>
            <w:pPr>
              <w:pStyle w:val="registration-status"/>
              <w:spacing w:before="0" w:after="0"/>
            </w:pPr>
            <w:hyperlink w:history="true" r:id="Rb2c8cd04e4c44989">
              <w:r>
                <w:rPr>
                  <w:rStyle w:val="Hyperlink"/>
                  <w:color w:val="244061"/>
                </w:rPr>
                <w:t xml:space="preserve">Indigenous</w:t>
              </w:r>
            </w:hyperlink>
            <w:r>
              <w:rPr>
                <w:rStyle w:val="row-content"/>
                <w:color w:val="244061"/>
              </w:rPr>
              <w:t xml:space="preserve">, Superseded 25/02/2024</w:t>
            </w:r>
          </w:p>
          <w:p>
            <w:r>
              <w:br/>
            </w:r>
            <w:r>
              <w:rPr>
                <w:rStyle w:val="row-content"/>
              </w:rPr>
              <w:t xml:space="preserve">See also </w:t>
            </w:r>
            <w:hyperlink w:history="true" r:id="R9621c05b3daa4f78">
              <w:r>
                <w:rPr>
                  <w:rStyle w:val="Hyperlink"/>
                </w:rPr>
                <w:t xml:space="preserve">Indigenous-specific primary health care: PI02b-Proportion of Indigenous babies born within the previous 12 months who attended the organisation more than once, and who have a birthweight result within a specified category, December 2022</w:t>
              </w:r>
            </w:hyperlink>
          </w:p>
          <w:p>
            <w:pPr>
              <w:pStyle w:val="registration-status"/>
              <w:spacing w:before="0" w:after="0"/>
            </w:pPr>
            <w:hyperlink w:history="true" r:id="R449d5ecb4b4f4f03">
              <w:r>
                <w:rPr>
                  <w:rStyle w:val="Hyperlink"/>
                  <w:color w:val="244061"/>
                </w:rPr>
                <w:t xml:space="preserve">Indigenous</w:t>
              </w:r>
            </w:hyperlink>
            <w:r>
              <w:rPr>
                <w:rStyle w:val="row-content"/>
                <w:color w:val="244061"/>
              </w:rPr>
              <w:t xml:space="preserve">, Superseded 18/12/2023</w:t>
            </w:r>
          </w:p>
          <w:p>
            <w:r>
              <w:br/>
            </w:r>
          </w:p>
        </w:tc>
      </w:tr>
    </w:tbl>
    <w:p>
      <w:r>
        <w:br/>
      </w:r>
    </w:p>
    <w:sectPr>
      <w:footerReference xmlns:r="http://schemas.openxmlformats.org/officeDocument/2006/relationships" w:type="default" r:id="R6c0c357ec4ab487c"/>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779030</w:t>
    </w:r>
    <w:r>
      <w:ptab w:alignment="right" w:relativeTo="margin" w:leader="none"/>
    </w:r>
    <w:r>
      <w:t xml:space="preserve">Page </w:t>
    </w:r>
    <w:fldSimple w:instr="PAGE"/>
    <w:r>
      <w:t xml:space="preserve"> of </w:t>
    </w:r>
    <w:fldSimple w:instr="NUMPAGES"/>
    <w:r>
      <w:ptab w:alignment="left" w:relativeTo="margin" w:leader="none"/>
    </w:r>
    <w:r>
      <w:t>Downloaded 02-Aug-2024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cf939ba5fa964c2b"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 w:numId="3">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6c0c357ec4ab487c" /><Relationship Type="http://schemas.openxmlformats.org/officeDocument/2006/relationships/header" Target="/word/header1.xml" Id="Rf6dc2e3b051440bc" /><Relationship Type="http://schemas.openxmlformats.org/officeDocument/2006/relationships/settings" Target="/word/settings.xml" Id="Rba58a20068764a83" /><Relationship Type="http://schemas.openxmlformats.org/officeDocument/2006/relationships/styles" Target="/word/styles.xml" Id="Rc92490feaa53479b" /><Relationship Type="http://schemas.openxmlformats.org/officeDocument/2006/relationships/numbering" Target="/word/numbering.xml" Id="Radfe3119a78845a6" /><Relationship Type="http://schemas.openxmlformats.org/officeDocument/2006/relationships/hyperlink" Target="https://meteor.aihw.gov.au/RegistrationAuthority/6" TargetMode="External" Id="Rff583f157c1c4ecc" /><Relationship Type="http://schemas.openxmlformats.org/officeDocument/2006/relationships/hyperlink" Target="https://meteor.aihw.gov.au/content/779194" TargetMode="External" Id="R80dbe2756bfa4111" /><Relationship Type="http://schemas.openxmlformats.org/officeDocument/2006/relationships/hyperlink" Target="https://meteor.aihw.gov.au/content/733258" TargetMode="External" Id="R3f17cd82a1864b69" /><Relationship Type="http://schemas.openxmlformats.org/officeDocument/2006/relationships/hyperlink" Target="https://meteor.aihw.gov.au/content/779009" TargetMode="External" Id="Re38cda62c4db4625" /><Relationship Type="http://schemas.openxmlformats.org/officeDocument/2006/relationships/hyperlink" Target="https://meteor.aihw.gov.au/RegistrationAuthority/6" TargetMode="External" Id="Rc563d1fff4d44fce" /><Relationship Type="http://schemas.openxmlformats.org/officeDocument/2006/relationships/hyperlink" Target="https://meteor.aihw.gov.au/content/483060" TargetMode="External" Id="Rcdd4104b02144437" /><Relationship Type="http://schemas.openxmlformats.org/officeDocument/2006/relationships/hyperlink" Target="https://meteor.aihw.gov.au/content/737914" TargetMode="External" Id="R193224b472254988" /><Relationship Type="http://schemas.openxmlformats.org/officeDocument/2006/relationships/hyperlink" Target="https://meteor.aihw.gov.au/content/779011" TargetMode="External" Id="Rf19fcbf4b1be43a8" /><Relationship Type="http://schemas.openxmlformats.org/officeDocument/2006/relationships/hyperlink" Target="https://meteor.aihw.gov.au/content/602543" TargetMode="External" Id="Rea0f07759ccd46a7" /><Relationship Type="http://schemas.openxmlformats.org/officeDocument/2006/relationships/hyperlink" Target="https://meteor.aihw.gov.au/content/737914" TargetMode="External" Id="Rbe5aeff68c644278" /><Relationship Type="http://schemas.openxmlformats.org/officeDocument/2006/relationships/hyperlink" Target="https://meteor.aihw.gov.au/content/779011" TargetMode="External" Id="R411dcd3328e44f73" /><Relationship Type="http://schemas.openxmlformats.org/officeDocument/2006/relationships/hyperlink" Target="https://meteor.aihw.gov.au/content/709560" TargetMode="External" Id="R9a8321a3fa4d40ba" /><Relationship Type="http://schemas.openxmlformats.org/officeDocument/2006/relationships/hyperlink" Target="https://meteor.aihw.gov.au/content/737914" TargetMode="External" Id="R36d5dbc0c2064c88" /><Relationship Type="http://schemas.openxmlformats.org/officeDocument/2006/relationships/hyperlink" Target="https://meteor.aihw.gov.au/content/779011" TargetMode="External" Id="R9801017c3b734f91" /><Relationship Type="http://schemas.openxmlformats.org/officeDocument/2006/relationships/hyperlink" Target="https://meteor.aihw.gov.au/content/732895" TargetMode="External" Id="Rb459addd39a243bc" /><Relationship Type="http://schemas.openxmlformats.org/officeDocument/2006/relationships/hyperlink" Target="https://meteor.aihw.gov.au/content/737914" TargetMode="External" Id="Rb61b5f04d75c4348" /><Relationship Type="http://schemas.openxmlformats.org/officeDocument/2006/relationships/hyperlink" Target="https://meteor.aihw.gov.au/content/779011" TargetMode="External" Id="R8f13e101047c401f" /><Relationship Type="http://schemas.openxmlformats.org/officeDocument/2006/relationships/hyperlink" Target="https://meteor.aihw.gov.au/content/410650" TargetMode="External" Id="R50ce68c899bf4d8f" /><Relationship Type="http://schemas.openxmlformats.org/officeDocument/2006/relationships/hyperlink" Target="https://meteor.aihw.gov.au/content/737914" TargetMode="External" Id="R7492b75e2e1f4361" /><Relationship Type="http://schemas.openxmlformats.org/officeDocument/2006/relationships/hyperlink" Target="https://meteor.aihw.gov.au/content/779194" TargetMode="External" Id="Re8e1071726e74dd1" /><Relationship Type="http://schemas.openxmlformats.org/officeDocument/2006/relationships/hyperlink" Target="https://meteor.aihw.gov.au/content/770370" TargetMode="External" Id="R9c1cd529432f4ff8" /><Relationship Type="http://schemas.openxmlformats.org/officeDocument/2006/relationships/hyperlink" Target="https://meteor.aihw.gov.au/RegistrationAuthority/6" TargetMode="External" Id="R317d4d2b63fc4ea9" /><Relationship Type="http://schemas.openxmlformats.org/officeDocument/2006/relationships/hyperlink" Target="https://meteor.aihw.gov.au/content/782636" TargetMode="External" Id="Red3c87d1ee0a4c3e" /><Relationship Type="http://schemas.openxmlformats.org/officeDocument/2006/relationships/hyperlink" Target="https://meteor.aihw.gov.au/RegistrationAuthority/6" TargetMode="External" Id="Rb2c8cd04e4c44989" /><Relationship Type="http://schemas.openxmlformats.org/officeDocument/2006/relationships/hyperlink" Target="https://meteor.aihw.gov.au/content/779032" TargetMode="External" Id="R9621c05b3daa4f78" /><Relationship Type="http://schemas.openxmlformats.org/officeDocument/2006/relationships/hyperlink" Target="https://meteor.aihw.gov.au/RegistrationAuthority/6" TargetMode="External" Id="R449d5ecb4b4f4f03" /></Relationships>
</file>

<file path=word/_rels/header1.xml.rels>&#65279;<?xml version="1.0" encoding="utf-8"?><Relationships xmlns="http://schemas.openxmlformats.org/package/2006/relationships"><Relationship Type="http://schemas.openxmlformats.org/officeDocument/2006/relationships/image" Target="/media/image.png" Id="Rcf939ba5fa964c2b" /></Relationships>
</file>