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53c7828edb449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3.2.1–Severe or profound core activity limitation,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3.2.1–Severe or profound core activity limitation,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3.2.1–Severe or profound core activity limitation,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3f23ae98d481e">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'sometimes' or 'always' need help with core activities of daily living (mobility, self-care 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61ab1e6e754d36">
              <w:r>
                <w:rPr>
                  <w:rStyle w:val="Hyperlink"/>
                </w:rPr>
                <w:t xml:space="preserve">Australian Health Performance Framework, 2021</w:t>
              </w:r>
            </w:hyperlink>
          </w:p>
          <w:p>
            <w:pPr>
              <w:spacing w:before="0" w:after="0"/>
            </w:pPr>
            <w:r>
              <w:rPr>
                <w:rStyle w:val="row-content"/>
                <w:color w:val="244061"/>
              </w:rPr>
              <w:t xml:space="preserve">       </w:t>
            </w:r>
            <w:hyperlink w:history="true" r:id="Rbb074ee450754d2b">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'sometimes' or 'always' need help with core activities of daily living (mobility, self-care or communication), divided by the number of people in the Australian population. The proportion is expressed as a percentage.</w:t>
            </w:r>
          </w:p>
          <w:p>
            <w:pPr>
              <w:spacing w:after="160"/>
            </w:pPr>
            <w:r>
              <w:rPr>
                <w:rStyle w:val="row-content-rich-text"/>
              </w:rPr>
              <w:t xml:space="preserve">National rates are also expressed directly age-standardised to the 2001 Australian population.</w:t>
            </w:r>
          </w:p>
          <w:p>
            <w:pPr>
              <w:spacing w:after="160"/>
            </w:pPr>
            <w:r>
              <w:rPr>
                <w:rStyle w:val="row-content-rich-text"/>
              </w:rPr>
              <w:t xml:space="preserve">State or territory of usual residence and geographic remoteness, age group and sex are based upon survey response for that individual.</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'sometimes' or 'always' need help with core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Derived extent of core activity limitation (disability flag)</w:t>
            </w:r>
          </w:p>
          <w:p>
            <w:r>
              <w:rPr>
                <w:rStyle w:val="row-content"/>
              </w:rPr>
              <w:t xml:space="preserve"> </w:t>
            </w:r>
          </w:p>
          <w:p>
            <w:r>
              <w:rPr>
                <w:rStyle w:val="row-content"/>
                <w:b/>
              </w:rPr>
              <w:t xml:space="preserve">Data Source</w:t>
            </w:r>
          </w:p>
          <w:p>
            <w:hyperlink w:history="true" r:id="Rae6784ed91a04cd2">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Australian population.</w:t>
            </w:r>
          </w:p>
          <w:p>
            <w:pPr/>
            <w:r>
              <w:rPr>
                <w:rStyle w:val="row-content-rich-text"/>
              </w:rPr>
              <w:t xml:space="preserve">See </w:t>
            </w:r>
            <w:hyperlink w:history="true" r:id="R51fb80188e784f95">
              <w:r>
                <w:rPr>
                  <w:rStyle w:val="Hyperlink"/>
                </w:rPr>
                <w:t xml:space="preserve">Disability, Ageing and Carers, Australia: Summary of Findings, 2018</w:t>
              </w:r>
            </w:hyperlink>
            <w:r>
              <w:rPr>
                <w:rStyle w:val="row-content-rich-text"/>
              </w:rPr>
              <w:t xml:space="preserve"> (ABS 2019) for detail on inclusion and exclusion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Person–total persons</w:t>
            </w:r>
          </w:p>
          <w:p>
            <w:r>
              <w:rPr>
                <w:rStyle w:val="row-content"/>
              </w:rPr>
              <w:t xml:space="preserve"> </w:t>
            </w:r>
          </w:p>
          <w:p>
            <w:r>
              <w:rPr>
                <w:rStyle w:val="row-content"/>
                <w:b/>
              </w:rPr>
              <w:t xml:space="preserve">Data Source</w:t>
            </w:r>
          </w:p>
          <w:p>
            <w:hyperlink w:history="true" r:id="R2322279b7e614abe">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2012, 2015, 2018—Nationally,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(0–4, 5–14, 15–24, 25–34, 35–44, 45–54, 55–59, 60–64, 65–69, 70–74, 75–79, 80–84, 85–89, 90 and over)</w:t>
            </w:r>
          </w:p>
          <w:p>
            <w:pPr>
              <w:pStyle w:val="ListParagraph"/>
              <w:numPr>
                <w:ilvl w:val="0"/>
                <w:numId w:val="2"/>
              </w:numPr>
            </w:pPr>
            <w:r>
              <w:rPr>
                <w:rStyle w:val="row-content-rich-text"/>
              </w:rPr>
              <w:t xml:space="preserve">Remoteness (Major cities, Inner regional, Other)</w:t>
            </w:r>
          </w:p>
          <w:p>
            <w:pPr>
              <w:pStyle w:val="ListParagraph"/>
              <w:numPr>
                <w:ilvl w:val="0"/>
                <w:numId w:val="2"/>
              </w:numPr>
            </w:pPr>
            <w:r>
              <w:rPr>
                <w:rStyle w:val="row-content-rich-text"/>
              </w:rPr>
              <w:t xml:space="preserve">Socio-Economic Indexes for Areas – Index of Relative Socio-economic Disadvantage</w:t>
            </w:r>
          </w:p>
          <w:p>
            <w:pPr>
              <w:pStyle w:val="ListParagraph"/>
              <w:numPr>
                <w:ilvl w:val="0"/>
                <w:numId w:val="2"/>
              </w:numPr>
            </w:pPr>
            <w:r>
              <w:rPr>
                <w:rStyle w:val="row-content-rich-text"/>
              </w:rPr>
              <w:t xml:space="preserve">Primary Health Network</w:t>
            </w:r>
          </w:p>
          <w:p>
            <w:pPr>
              <w:spacing w:after="160"/>
            </w:pPr>
            <w:r>
              <w:rPr>
                <w:rStyle w:val="row-content-rich-text"/>
              </w:rPr>
              <w:t xml:space="preserve">2009, 2012, 2015, 2018—State and territory, by:</w:t>
            </w:r>
          </w:p>
          <w:p>
            <w:pPr>
              <w:pStyle w:val="ListParagraph"/>
              <w:numPr>
                <w:ilvl w:val="0"/>
                <w:numId w:val="3"/>
              </w:numPr>
            </w:pPr>
            <w:r>
              <w:rPr>
                <w:rStyle w:val="row-content-rich-text"/>
              </w:rPr>
              <w:t xml:space="preserve">Sex.</w:t>
            </w:r>
          </w:p>
          <w:p>
            <w:pPr>
              <w:spacing w:after="160"/>
            </w:pPr>
            <w:r>
              <w:rPr>
                <w:rStyle w:val="row-content-rich-text"/>
              </w:rPr>
              <w:t xml:space="preserve">Remoteness data for 2018 uses the Remoteness Structure within the 2016 Australian Statistical Geography Standard. Remoteness data for 2015 uses the Remoteness Structure within the 2011 Australian Statistical Geography Standard (ASGS), while data for 2009 and 2012 use the Remoteness Structure within the 2006 Australian Standard Geographical Classification (ASGC).</w:t>
            </w:r>
          </w:p>
          <w:p>
            <w:pPr/>
            <w:r>
              <w:rPr>
                <w:rStyle w:val="row-content-rich-text"/>
              </w:rPr>
              <w:t xml:space="preserve">Crude and age-specific percentages are provided for all persons at the national level. Crude percentages are provided for all other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 Socio-Economic Indexes for Areas – Index of Relative Socio-economic Disadvantage</w:t>
            </w:r>
          </w:p>
          <w:p>
            <w:r>
              <w:rPr>
                <w:rStyle w:val="row-content"/>
              </w:rPr>
              <w:t xml:space="preserve"> </w:t>
            </w:r>
          </w:p>
          <w:p>
            <w:r>
              <w:rPr>
                <w:rStyle w:val="row-content"/>
                <w:b/>
              </w:rPr>
              <w:t xml:space="preserve">Data Source</w:t>
            </w:r>
          </w:p>
          <w:p>
            <w:hyperlink w:history="true" r:id="Rc9a888ada11d4438">
              <w:r>
                <w:rPr>
                  <w:rStyle w:val="Hyperlink"/>
                </w:rPr>
                <w:t xml:space="preserve">ABS Survey of Disability, Ageing and Carers (SDAC), 2018</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group</w:t>
            </w:r>
          </w:p>
          <w:p>
            <w:r>
              <w:rPr>
                <w:rStyle w:val="row-content"/>
              </w:rPr>
              <w:t xml:space="preserve"> </w:t>
            </w:r>
          </w:p>
          <w:p>
            <w:r>
              <w:rPr>
                <w:rStyle w:val="row-content"/>
                <w:b/>
              </w:rPr>
              <w:t xml:space="preserve">Data Source</w:t>
            </w:r>
          </w:p>
          <w:p>
            <w:hyperlink w:history="true" r:id="R1ca4681b6fbd4f7b">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Person—geographic remoteness, classification</w:t>
            </w:r>
          </w:p>
          <w:p>
            <w:r>
              <w:rPr>
                <w:rStyle w:val="row-content"/>
              </w:rPr>
              <w:t xml:space="preserve"> </w:t>
            </w:r>
          </w:p>
          <w:p>
            <w:r>
              <w:rPr>
                <w:rStyle w:val="row-content"/>
                <w:b/>
              </w:rPr>
              <w:t xml:space="preserve">Data Source</w:t>
            </w:r>
          </w:p>
          <w:p>
            <w:hyperlink w:history="true" r:id="Rd29074e9a4bd4b2f">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Person—Primary Health Network</w:t>
            </w:r>
          </w:p>
          <w:p>
            <w:r>
              <w:rPr>
                <w:rStyle w:val="row-content"/>
              </w:rPr>
              <w:t xml:space="preserve"> </w:t>
            </w:r>
          </w:p>
          <w:p>
            <w:r>
              <w:rPr>
                <w:rStyle w:val="row-content"/>
                <w:b/>
              </w:rPr>
              <w:t xml:space="preserve">Data Source</w:t>
            </w:r>
          </w:p>
          <w:p>
            <w:hyperlink w:history="true" r:id="Ra1b0fd10e4fd4689">
              <w:r>
                <w:rPr>
                  <w:rStyle w:val="Hyperlink"/>
                </w:rPr>
                <w:t xml:space="preserve">ABS Survey of Disability, Ageing and Carers (SDAC), 2018</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b0ecc6da67d740c3">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Person—state/territory of usual residence</w:t>
            </w:r>
          </w:p>
          <w:p>
            <w:r>
              <w:rPr>
                <w:rStyle w:val="row-content"/>
              </w:rPr>
              <w:t xml:space="preserve"> </w:t>
            </w:r>
          </w:p>
          <w:p>
            <w:r>
              <w:rPr>
                <w:rStyle w:val="row-content"/>
                <w:b/>
              </w:rPr>
              <w:t xml:space="preserve">Data Source</w:t>
            </w:r>
          </w:p>
          <w:p>
            <w:hyperlink w:history="true" r:id="Rcee1fe25e5af4687">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 2018.</w:t>
            </w:r>
          </w:p>
          <w:p>
            <w:pPr>
              <w:spacing w:after="160"/>
            </w:pPr>
            <w:r>
              <w:rPr>
                <w:rStyle w:val="row-content-rich-text"/>
              </w:rPr>
              <w:t xml:space="preserve">Data for 2009, 2012 and 2015 were from the ABS Survey of Disability, Ageing and Carers (SDAC) run in these years. Similar data elements were used to those listed for the 2018 SDAC.</w:t>
            </w:r>
          </w:p>
          <w:p>
            <w:pPr>
              <w:spacing w:after="160"/>
            </w:pPr>
            <w:r>
              <w:rPr>
                <w:rStyle w:val="row-content-rich-text"/>
              </w:rPr>
              <w:t xml:space="preserve">The SDAC collects data from private dwellings and establishments providing long term cared accommodation. Usual residents in sampled private dwellings are surveyed by a representative of the ABS. Survey responses for usual residents in sampled establishments are prepared by the residential establishment itself. For establishments, occupants are only enumerated if they had been or are expected to be a usual resident of an establishment for 3 months or more.</w:t>
            </w:r>
          </w:p>
          <w:p>
            <w:pPr>
              <w:spacing w:after="160"/>
            </w:pPr>
            <w:r>
              <w:rPr>
                <w:rStyle w:val="row-content-rich-text"/>
              </w:rPr>
              <w:t xml:space="preserve">The scope of the SDACs has changed across the years. Differences in scope are:</w:t>
            </w:r>
          </w:p>
          <w:p>
            <w:pPr>
              <w:pStyle w:val="ListParagraph"/>
              <w:numPr>
                <w:ilvl w:val="0"/>
                <w:numId w:val="4"/>
              </w:numPr>
            </w:pPr>
            <w:r>
              <w:rPr>
                <w:rStyle w:val="row-content-rich-text"/>
              </w:rPr>
              <w:t xml:space="preserve">The 2009 SDAC surveyed persons in both urban and rural areas in all states and territories, living in both private and non-private dwellings (including persons in cared accommodation), but excluding:</w:t>
            </w:r>
            <w:r>
              <w:br/>
            </w:r>
            <w:r>
              <w:rPr>
                <w:rStyle w:val="row-content-rich-text"/>
              </w:rPr>
              <w:t xml:space="preserve">        • diplomatic personnel of overseas governments,</w:t>
            </w:r>
            <w:r>
              <w:br/>
            </w:r>
            <w:r>
              <w:rPr>
                <w:rStyle w:val="row-content-rich-text"/>
              </w:rPr>
              <w:t xml:space="preserve">        • persons whose usual residence was outside Australia, and</w:t>
            </w:r>
            <w:r>
              <w:br/>
            </w:r>
            <w:r>
              <w:rPr>
                <w:rStyle w:val="row-content-rich-text"/>
              </w:rPr>
              <w:t xml:space="preserve">        • members of non-Australian defence forces (and their dependents) stationed in Australia.</w:t>
            </w:r>
          </w:p>
          <w:p>
            <w:pPr>
              <w:pStyle w:val="ListParagraph"/>
              <w:numPr>
                <w:ilvl w:val="0"/>
                <w:numId w:val="4"/>
              </w:numPr>
            </w:pPr>
            <w:r>
              <w:rPr>
                <w:rStyle w:val="row-content-rich-text"/>
              </w:rPr>
              <w:t xml:space="preserve">The scope of the 2012 SDAC is consistent with that of the 2009 SDAC except that there are additional exclusion criteria:</w:t>
            </w:r>
            <w:r>
              <w:br/>
            </w:r>
            <w:r>
              <w:rPr>
                <w:rStyle w:val="row-content-rich-text"/>
              </w:rPr>
              <w:t xml:space="preserve">        • persons living in very remote areas, and</w:t>
            </w:r>
            <w:r>
              <w:br/>
            </w:r>
            <w:r>
              <w:rPr>
                <w:rStyle w:val="row-content-rich-text"/>
              </w:rPr>
              <w:t xml:space="preserve">        • households in Indigenous Community Frame (ICF) Collection Districts (CDs).</w:t>
            </w:r>
          </w:p>
          <w:p>
            <w:pPr>
              <w:pStyle w:val="ListParagraph"/>
              <w:numPr>
                <w:ilvl w:val="0"/>
                <w:numId w:val="4"/>
              </w:numPr>
            </w:pPr>
            <w:r>
              <w:rPr>
                <w:rStyle w:val="row-content-rich-text"/>
              </w:rPr>
              <w:t xml:space="preserve">The 2015 and 2018 SDAC surveyed persons in both urban and rural areas in all states and territories, living in private dwellings, self-care retirement villages and establishments providing long-term cared accommodation. In 2015 and 2018, the SDAC excluded the following in addition to the exclusions for the 2012 SDAC:</w:t>
            </w:r>
            <w:r>
              <w:br/>
            </w:r>
            <w:r>
              <w:rPr>
                <w:rStyle w:val="row-content-rich-text"/>
              </w:rPr>
              <w:t xml:space="preserve">        • people living in hotels, motels and short-term caravan parks,</w:t>
            </w:r>
            <w:r>
              <w:br/>
            </w:r>
            <w:r>
              <w:rPr>
                <w:rStyle w:val="row-content-rich-text"/>
              </w:rPr>
              <w:t xml:space="preserve">        • people living in religious and educational institutions,</w:t>
            </w:r>
            <w:r>
              <w:br/>
            </w:r>
            <w:r>
              <w:rPr>
                <w:rStyle w:val="row-content-rich-text"/>
              </w:rPr>
              <w:t xml:space="preserve">        • people living in hostels for the homeless or night shelters, and</w:t>
            </w:r>
            <w:r>
              <w:br/>
            </w:r>
            <w:r>
              <w:rPr>
                <w:rStyle w:val="row-content-rich-text"/>
              </w:rPr>
              <w:t xml:space="preserve">        • people living in staff quarters, guest houses or other long-term accommodation.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439c3dbe7a4eb7">
              <w:r>
                <w:rPr>
                  <w:rStyle w:val="Hyperlink"/>
                </w:rPr>
                <w:t xml:space="preserve">2. Human function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fce874d0e249c2">
              <w:r>
                <w:rPr>
                  <w:rStyle w:val="Hyperlink"/>
                </w:rPr>
                <w:t xml:space="preserve">ABS Survey of Disability, Ageing and Carers (SDAC), 2018</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Disability, Ageing and Carers, Australia: Summary of Findings, 2009. ABS cat. no. 4430.0. Canberra: ABS. Viewed 18 November 2019,</w:t>
            </w:r>
            <w:r>
              <w:br/>
            </w:r>
            <w:hyperlink w:history="true" r:id="Rdbbe2ee79f1a42a3">
              <w:r>
                <w:rPr>
                  <w:rStyle w:val="Hyperlink"/>
                </w:rPr>
                <w:t xml:space="preserve">https://www.abs.gov.au/AUSSTATS/abs@.nsf/allprimarymainfeatures/</w:t>
              </w:r>
              <w:r>
                <w:br/>
              </w:r>
              <w:r>
                <w:rPr>
                  <w:rStyle w:val="row-content-rich-text"/>
                </w:rPr>
                <w:t xml:space="preserve">E36A0C8CC46057B9CA257C21000D8846?opendocument</w:t>
              </w:r>
            </w:hyperlink>
            <w:r>
              <w:rPr>
                <w:rStyle w:val="row-content-rich-text"/>
              </w:rPr>
              <w:t xml:space="preserve">.</w:t>
            </w:r>
          </w:p>
          <w:p>
            <w:pPr>
              <w:spacing w:after="160"/>
            </w:pPr>
            <w:r>
              <w:rPr>
                <w:rStyle w:val="row-content-rich-text"/>
              </w:rPr>
              <w:t xml:space="preserve">ABS 2013. Disability, Ageing and Carers, Australia: Summary of Findings, 2012. ABS cat. no. 4430.0. Canberra: ABS. Viewed 18 November 2019,</w:t>
            </w:r>
            <w:r>
              <w:br/>
            </w:r>
            <w:hyperlink w:history="true" r:id="R3e58372b033a4884">
              <w:r>
                <w:rPr>
                  <w:rStyle w:val="Hyperlink"/>
                </w:rPr>
                <w:t xml:space="preserve">https://www.abs.gov.au/AUSSTATS/abs@.nsf/allprimarymainfeatures/</w:t>
              </w:r>
              <w:r>
                <w:br/>
              </w:r>
              <w:r>
                <w:rPr>
                  <w:rStyle w:val="row-content-rich-text"/>
                </w:rPr>
                <w:t xml:space="preserve">92730165AAFFD1FDCA25804F000F5F19?opendocument</w:t>
              </w:r>
            </w:hyperlink>
          </w:p>
          <w:p>
            <w:pPr/>
            <w:r>
              <w:rPr>
                <w:rStyle w:val="row-content-rich-text"/>
              </w:rPr>
              <w:t xml:space="preserve">ABS 2018. Disability, Ageing and Carers, Australia: Summary of Findings, 2015. ABS cat. no. 4430.0. Canberra: ABS. Viewed 18 November 2019,</w:t>
            </w:r>
            <w:r>
              <w:br/>
            </w:r>
            <w:hyperlink w:history="true" r:id="Rc042d80a70ac4793">
              <w:r>
                <w:rPr>
                  <w:rStyle w:val="Hyperlink"/>
                </w:rPr>
                <w:t xml:space="preserve">https://www.abs.gov.au/AUSSTATS/abs@.nsf/allprimarymainfeatures/</w:t>
              </w:r>
              <w:r>
                <w:br/>
              </w:r>
              <w:r>
                <w:rPr>
                  <w:rStyle w:val="row-content-rich-text"/>
                </w:rPr>
                <w:t xml:space="preserve">7C627E6F478CB6B4CA25849C00174C19?opendocument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d33cfac4b6437d">
              <w:r>
                <w:rPr>
                  <w:rStyle w:val="Hyperlink"/>
                </w:rPr>
                <w:t xml:space="preserve">Australian Health Performance Framework: PI 3.2.1–Severe or profound core activity limitation, 2020</w:t>
              </w:r>
            </w:hyperlink>
          </w:p>
          <w:p>
            <w:pPr>
              <w:spacing w:before="0" w:after="0"/>
            </w:pPr>
            <w:r>
              <w:rPr>
                <w:rStyle w:val="row-content"/>
                <w:color w:val="244061"/>
              </w:rPr>
              <w:t xml:space="preserve">       </w:t>
            </w:r>
            <w:hyperlink w:history="true" r:id="Rd8afa625485b48b5">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b4da42f6056b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778145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91dcc88849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a42f6056b4ed7" /><Relationship Type="http://schemas.openxmlformats.org/officeDocument/2006/relationships/header" Target="/word/header1.xml" Id="Rbc769a067353492d" /><Relationship Type="http://schemas.openxmlformats.org/officeDocument/2006/relationships/settings" Target="/word/settings.xml" Id="R4f4c031f04f24681" /><Relationship Type="http://schemas.openxmlformats.org/officeDocument/2006/relationships/styles" Target="/word/styles.xml" Id="R301cfab2b52d4e85" /><Relationship Type="http://schemas.openxmlformats.org/officeDocument/2006/relationships/hyperlink" Target="https://meteor.aihw.gov.au/RegistrationAuthority/12" TargetMode="External" Id="R9813f23ae98d481e" /><Relationship Type="http://schemas.openxmlformats.org/officeDocument/2006/relationships/hyperlink" Target="https://meteor.aihw.gov.au/content/764926" TargetMode="External" Id="R4761ab1e6e754d36" /><Relationship Type="http://schemas.openxmlformats.org/officeDocument/2006/relationships/hyperlink" Target="https://meteor.aihw.gov.au/RegistrationAuthority/12" TargetMode="External" Id="Rbb074ee450754d2b" /><Relationship Type="http://schemas.openxmlformats.org/officeDocument/2006/relationships/hyperlink" Target="https://meteor.aihw.gov.au/content/731625" TargetMode="External" Id="Rae6784ed91a04cd2" /><Relationship Type="http://schemas.openxmlformats.org/officeDocument/2006/relationships/hyperlink" Target="https://www.abs.gov.au/AUSSTATS/abs@.nsf/Lookup/4430.0Explanatory%20Notes12018?OpenDocument" TargetMode="External" Id="R51fb80188e784f95" /><Relationship Type="http://schemas.openxmlformats.org/officeDocument/2006/relationships/hyperlink" Target="https://meteor.aihw.gov.au/content/731625" TargetMode="External" Id="R2322279b7e614abe" /><Relationship Type="http://schemas.openxmlformats.org/officeDocument/2006/relationships/numbering" Target="/word/numbering.xml" Id="R7b5c370f03434a25" /><Relationship Type="http://schemas.openxmlformats.org/officeDocument/2006/relationships/hyperlink" Target="https://meteor.aihw.gov.au/content/731625" TargetMode="External" Id="Rc9a888ada11d4438" /><Relationship Type="http://schemas.openxmlformats.org/officeDocument/2006/relationships/hyperlink" Target="https://meteor.aihw.gov.au/content/731625" TargetMode="External" Id="R1ca4681b6fbd4f7b" /><Relationship Type="http://schemas.openxmlformats.org/officeDocument/2006/relationships/hyperlink" Target="https://meteor.aihw.gov.au/content/731625" TargetMode="External" Id="Rd29074e9a4bd4b2f" /><Relationship Type="http://schemas.openxmlformats.org/officeDocument/2006/relationships/hyperlink" Target="https://meteor.aihw.gov.au/content/731625" TargetMode="External" Id="Ra1b0fd10e4fd4689" /><Relationship Type="http://schemas.openxmlformats.org/officeDocument/2006/relationships/hyperlink" Target="https://meteor.aihw.gov.au/content/731625" TargetMode="External" Id="Rb0ecc6da67d740c3" /><Relationship Type="http://schemas.openxmlformats.org/officeDocument/2006/relationships/hyperlink" Target="https://meteor.aihw.gov.au/content/731625" TargetMode="External" Id="Rcee1fe25e5af4687" /><Relationship Type="http://schemas.openxmlformats.org/officeDocument/2006/relationships/hyperlink" Target="https://meteor.aihw.gov.au/content/721650" TargetMode="External" Id="R08439c3dbe7a4eb7" /><Relationship Type="http://schemas.openxmlformats.org/officeDocument/2006/relationships/hyperlink" Target="https://meteor.aihw.gov.au/content/731625" TargetMode="External" Id="R05fce874d0e249c2" /><Relationship Type="http://schemas.openxmlformats.org/officeDocument/2006/relationships/hyperlink" Target="https://www.abs.gov.au/AUSSTATS/abs@.nsf/allprimarymainfeatures/E36A0C8CC46057B9CA257C21000D8846?opendocument" TargetMode="External" Id="Rdbbe2ee79f1a42a3" /><Relationship Type="http://schemas.openxmlformats.org/officeDocument/2006/relationships/hyperlink" Target="https://www.abs.gov.au/AUSSTATS/abs@.nsf/allprimarymainfeatures/92730165AAFFD1FDCA25804F000F5F19?opendocument" TargetMode="External" Id="R3e58372b033a4884" /><Relationship Type="http://schemas.openxmlformats.org/officeDocument/2006/relationships/hyperlink" Target="https://www.abs.gov.au/AUSSTATS/abs@.nsf/allprimarymainfeatures/7C627E6F478CB6B4CA25849C00174C19?opendocument" TargetMode="External" Id="Rc042d80a70ac4793" /><Relationship Type="http://schemas.openxmlformats.org/officeDocument/2006/relationships/hyperlink" Target="https://meteor.aihw.gov.au/content/728418" TargetMode="External" Id="R0cd33cfac4b6437d" /><Relationship Type="http://schemas.openxmlformats.org/officeDocument/2006/relationships/hyperlink" Target="https://meteor.aihw.gov.au/RegistrationAuthority/12" TargetMode="External" Id="Rd8afa625485b48b5" /></Relationships>
</file>

<file path=word/_rels/header1.xml.rels>&#65279;<?xml version="1.0" encoding="utf-8"?><Relationships xmlns="http://schemas.openxmlformats.org/package/2006/relationships"><Relationship Type="http://schemas.openxmlformats.org/officeDocument/2006/relationships/image" Target="/media/image.png" Id="R1591dcc888494d01" /></Relationships>
</file>