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d02c40ba741b1" /></Relationships>
</file>

<file path=word/document.xml><?xml version="1.0" encoding="utf-8"?>
<w:document xmlns:r="http://schemas.openxmlformats.org/officeDocument/2006/relationships" xmlns:w="http://schemas.openxmlformats.org/wordprocessingml/2006/main">
  <w:body>
    <w:p>
      <w:pPr>
        <w:pStyle w:val="Title"/>
      </w:pPr>
      <w:r>
        <w:t>Intervention—presentation reason, sports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Intervention—presentation reason, sports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for sports injury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92aeb009a4e7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client presents for an intervention subsequent to a sports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f8a078dd74f84">
              <w:r>
                <w:rPr>
                  <w:rStyle w:val="Hyperlink"/>
                </w:rPr>
                <w:t xml:space="preserve">Intervention—presentation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98944aeeb4050">
              <w:r>
                <w:rPr>
                  <w:rStyle w:val="Hyperlink"/>
                </w:rPr>
                <w:t xml:space="preserve">Sports injury presentation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Recurrent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Exacerbated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injury (clinic or games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injury</w:t>
            </w:r>
          </w:p>
          <w:p>
            <w:pPr>
              <w:spacing w:after="160"/>
            </w:pPr>
            <w:r>
              <w:rPr>
                <w:rStyle w:val="row-content-rich-text"/>
              </w:rPr>
              <w:t xml:space="preserve">The first ever episode of an injury of this type to this body part/structure. For example, a player’s first sprained ankle is recorded as a new injury. </w:t>
            </w:r>
          </w:p>
          <w:p>
            <w:pPr>
              <w:spacing w:after="160"/>
            </w:pPr>
            <w:r>
              <w:rPr>
                <w:rStyle w:val="row-content-rich-text"/>
              </w:rPr>
              <w:t xml:space="preserve">CODE 2    Recurrent injury</w:t>
            </w:r>
          </w:p>
          <w:p>
            <w:pPr>
              <w:spacing w:after="160"/>
            </w:pPr>
            <w:r>
              <w:rPr>
                <w:rStyle w:val="row-content-rich-text"/>
              </w:rPr>
              <w:t xml:space="preserve">A second or subsequent episode, with an ‘injury free’ period between episodes. ‘Injury free’ refers to a period where there are no residual signs or symptoms of the original injury and could be weeks, months or years. Recurrent injuries can include ankle sprains, back pain, and finger dislocations. </w:t>
            </w:r>
          </w:p>
          <w:p>
            <w:pPr>
              <w:spacing w:after="160"/>
            </w:pPr>
            <w:r>
              <w:rPr>
                <w:rStyle w:val="row-content-rich-text"/>
              </w:rPr>
              <w:t xml:space="preserve">CODE 3    Exacerbated injury</w:t>
            </w:r>
          </w:p>
          <w:p>
            <w:pPr>
              <w:spacing w:after="160"/>
            </w:pPr>
            <w:r>
              <w:rPr>
                <w:rStyle w:val="row-content-rich-text"/>
              </w:rPr>
              <w:t xml:space="preserve">A recent worsening of an unresolved injury. For example, a player can incur a grade 1 sprain of the medial ligament of the knee and return to play before complete rehabilitation and injure the ligament further and increase the injury to a grade 2 or 3 injury. </w:t>
            </w:r>
          </w:p>
          <w:p>
            <w:pPr>
              <w:spacing w:after="160"/>
            </w:pPr>
            <w:r>
              <w:rPr>
                <w:rStyle w:val="row-content-rich-text"/>
              </w:rPr>
              <w:t xml:space="preserve">CODE 4    Ongoing treatment</w:t>
            </w:r>
          </w:p>
          <w:p>
            <w:pPr/>
            <w:r>
              <w:rPr>
                <w:rStyle w:val="row-content-rich-text"/>
              </w:rPr>
              <w:t xml:space="preserve">This option should be used during medical coverage for multi-sport events or games over several days when ongoing treatment is provided for participants over the duration of the games. It should also be used to indicate ongoing management of an injury in a clinic setting.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Defines the context for why the person is presenting with an injury. An injury case for the purpose of surveillance is defined to be one that arises out of a distinct injury event. The injury may then be classified into a new, recurrent or exacerbated injury.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e6927f6cf407a">
              <w:r>
                <w:rPr>
                  <w:rStyle w:val="Hyperlink"/>
                </w:rPr>
                <w:t xml:space="preserve">Australian Sports Injury Data Dictionary</w:t>
              </w:r>
            </w:hyperlink>
          </w:p>
          <w:p>
            <w:pPr>
              <w:spacing w:before="0" w:after="0"/>
            </w:pPr>
            <w:r>
              <w:rPr>
                <w:rStyle w:val="row-content"/>
                <w:color w:val="244061"/>
              </w:rPr>
              <w:t xml:space="preserve">       </w:t>
            </w:r>
            <w:hyperlink w:history="true" r:id="R6f3150ee4ae74c16">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8fff29c56f9d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0a88a7744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f29c56f9d4487" /><Relationship Type="http://schemas.openxmlformats.org/officeDocument/2006/relationships/header" Target="/word/header1.xml" Id="R2a669f525b674ff0" /><Relationship Type="http://schemas.openxmlformats.org/officeDocument/2006/relationships/settings" Target="/word/settings.xml" Id="Reedce2c29a19481b" /><Relationship Type="http://schemas.openxmlformats.org/officeDocument/2006/relationships/styles" Target="/word/styles.xml" Id="Re96e53440f58479b" /><Relationship Type="http://schemas.openxmlformats.org/officeDocument/2006/relationships/hyperlink" Target="https://meteor.aihw.gov.au/RegistrationAuthority/24" TargetMode="External" Id="R21b92aeb009a4e72" /><Relationship Type="http://schemas.openxmlformats.org/officeDocument/2006/relationships/hyperlink" Target="https://meteor.aihw.gov.au/content/777035" TargetMode="External" Id="Re6ef8a078dd74f84" /><Relationship Type="http://schemas.openxmlformats.org/officeDocument/2006/relationships/hyperlink" Target="https://meteor.aihw.gov.au/content/777022" TargetMode="External" Id="R31098944aeeb4050" /><Relationship Type="http://schemas.openxmlformats.org/officeDocument/2006/relationships/hyperlink" Target="https://meteor.aihw.gov.au/content/777500" TargetMode="External" Id="Rc28e6927f6cf407a" /><Relationship Type="http://schemas.openxmlformats.org/officeDocument/2006/relationships/hyperlink" Target="https://meteor.aihw.gov.au/RegistrationAuthority/24" TargetMode="External" Id="R6f3150ee4ae74c16" /></Relationships>
</file>

<file path=word/_rels/header1.xml.rels>&#65279;<?xml version="1.0" encoding="utf-8"?><Relationships xmlns="http://schemas.openxmlformats.org/package/2006/relationships"><Relationship Type="http://schemas.openxmlformats.org/officeDocument/2006/relationships/image" Target="/media/image.png" Id="R5350a88a7744489e" /></Relationships>
</file>