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8779b3fe4c4a01" /></Relationships>
</file>

<file path=word/document.xml><?xml version="1.0" encoding="utf-8"?>
<w:document xmlns:r="http://schemas.openxmlformats.org/officeDocument/2006/relationships" xmlns:w="http://schemas.openxmlformats.org/wordprocessingml/2006/main">
  <w:body>
    <w:p>
      <w:pPr>
        <w:pStyle w:val="Title"/>
      </w:pPr>
      <w:r>
        <w:t>Child Protection National Minimum Dataset, 2021–22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National Minimum Dataset, 2021–22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234e941db74d83">
              <w:r>
                <w:rPr>
                  <w:rStyle w:val="Hyperlink"/>
                  <w:color w:val="244061"/>
                </w:rPr>
                <w:t xml:space="preserve">AIHW Data Quality Statements</w:t>
              </w:r>
            </w:hyperlink>
            <w:r>
              <w:rPr>
                <w:rStyle w:val="row-content"/>
                <w:color w:val="244061"/>
              </w:rPr>
              <w:t xml:space="preserve">, Standard 06/06/2023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 </w:t>
            </w:r>
          </w:p>
          <w:p>
            <w:pPr>
              <w:spacing w:after="160"/>
            </w:pPr>
            <w:r>
              <w:rPr>
                <w:rStyle w:val="row-content-rich-text"/>
              </w:rPr>
              <w:t xml:space="preserve">The data for this collection are collected from each of the eight state and territory departments responsible for child protection. In Australia, state and territory governments are responsible for statutory child protection. Each responsible department assists vulnerable children who have been, or are at risk of being, abused, neglected or otherwise harmed, or whose parents are unable to provide adequate care or protection. </w:t>
            </w:r>
          </w:p>
          <w:p>
            <w:pPr>
              <w:spacing w:after="160"/>
            </w:pPr>
            <w:r>
              <w:rPr>
                <w:rStyle w:val="row-content-rich-text"/>
              </w:rPr>
              <w:t xml:space="preserve">Departments responsible for child protection investigate, process and oversee the handling of child protection cases. Children and their families are assisted by being provided with, or referred to, a wide range of services.</w:t>
            </w:r>
          </w:p>
          <w:p>
            <w:pPr>
              <w:spacing w:after="160"/>
            </w:pPr>
            <w:r>
              <w:rPr>
                <w:rStyle w:val="row-content-rich-text"/>
              </w:rPr>
              <w:t xml:space="preserve">The Australian Institute of Health and Welfare (AIHW) validates data for seven jurisdictions who provide unit record data and collates and analyses data for all eight jurisdictions following supply of aggregate data by New South Wales. The Child Protection National Minimum Data Set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spacing w:after="160"/>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in the associated 3-year Schedule (2020–21 to 2022–23) for national child protection work. Work is overseen by commonwealth-state/territory working groups, including the Children and Families Data Network.</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CP NMDS implemented for reporting from 2012–13, contains information on:</w:t>
            </w:r>
            <w:r>
              <w:br/>
            </w:r>
            <w:r>
              <w:rPr>
                <w:rStyle w:val="row-content-rich-text"/>
              </w:rPr>
              <w:t xml:space="preserve">        • client demographics</w:t>
            </w:r>
            <w:r>
              <w:br/>
            </w:r>
            <w:r>
              <w:rPr>
                <w:rStyle w:val="row-content-rich-text"/>
              </w:rPr>
              <w:t xml:space="preserve">        • notifications, investigations and substantiations</w:t>
            </w:r>
            <w:r>
              <w:br/>
            </w:r>
            <w:r>
              <w:rPr>
                <w:rStyle w:val="row-content-rich-text"/>
              </w:rPr>
              <w:t xml:space="preserve">        • care and protection orders</w:t>
            </w:r>
            <w:r>
              <w:br/>
            </w:r>
            <w:r>
              <w:rPr>
                <w:rStyle w:val="row-content-rich-text"/>
              </w:rPr>
              <w:t xml:space="preserve">        • out-of-home care</w:t>
            </w:r>
            <w:r>
              <w:br/>
            </w:r>
            <w:r>
              <w:rPr>
                <w:rStyle w:val="row-content-rich-text"/>
              </w:rPr>
              <w:t xml:space="preserve">        • foster, relative/kinship and other authorised carers</w:t>
            </w:r>
            <w:r>
              <w:br/>
            </w:r>
            <w:r>
              <w:rPr>
                <w:rStyle w:val="row-content-rich-text"/>
              </w:rPr>
              <w:t xml:space="preserve">        • safety in care (from 2020–21).</w:t>
            </w:r>
          </w:p>
          <w:p>
            <w:pPr>
              <w:pStyle w:val="ListParagraph"/>
              <w:numPr>
                <w:ilvl w:val="0"/>
                <w:numId w:val="2"/>
              </w:numPr>
            </w:pPr>
            <w:r>
              <w:rPr>
                <w:rStyle w:val="row-content-rich-text"/>
              </w:rPr>
              <w:t xml:space="preserve">The AIHW compiles data for the CP NMDS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Data produced from the CP NMDS are based on nationally agreed specifications and may not match state and territory figures published elsewhere and may not be comparable with data for previous years.</w:t>
            </w:r>
          </w:p>
          <w:p>
            <w:pPr>
              <w:pStyle w:val="ListParagraph"/>
              <w:numPr>
                <w:ilvl w:val="0"/>
                <w:numId w:val="2"/>
              </w:numPr>
            </w:pPr>
            <w:r>
              <w:rPr>
                <w:rStyle w:val="row-content-rich-text"/>
              </w:rPr>
              <w:t xml:space="preserve">As for previous years unit record level data were not available for New South Wales in 2021–22; aggregate data are used for national child protection reporting.</w:t>
            </w:r>
          </w:p>
          <w:p>
            <w:pPr>
              <w:pStyle w:val="ListParagraph"/>
              <w:numPr>
                <w:ilvl w:val="0"/>
                <w:numId w:val="2"/>
              </w:numPr>
            </w:pPr>
            <w:r>
              <w:rPr>
                <w:rStyle w:val="row-content-rich-text"/>
              </w:rPr>
              <w:t xml:space="preserve">Overall, the quality and coverage of data in the child protection data collection are good. However, data availability issues affect the interpretability of some data which are outlined below and in </w:t>
            </w:r>
            <w:r>
              <w:rPr>
                <w:rStyle w:val="row-content-rich-text"/>
                <w:i/>
              </w:rPr>
              <w:t xml:space="preserve">Child protection Australia 2021–22</w:t>
            </w:r>
            <w:r>
              <w:rPr>
                <w:rStyle w:val="row-content-rich-text"/>
              </w:rPr>
              <w:t xml:space="preserve">.</w:t>
            </w:r>
          </w:p>
          <w:p>
            <w:pPr>
              <w:pStyle w:val="ListParagraph"/>
              <w:numPr>
                <w:ilvl w:val="0"/>
                <w:numId w:val="2"/>
              </w:numPr>
            </w:pPr>
            <w:r>
              <w:rPr>
                <w:rStyle w:val="row-content-rich-text"/>
              </w:rPr>
              <w:t xml:space="preserve">Differences in jurisdictional policy, practice, legislation and data systems must be taken into consideration when interpreting all child protection data (see appendices B–E of </w:t>
            </w:r>
            <w:r>
              <w:rPr>
                <w:rStyle w:val="row-content-rich-text"/>
                <w:i/>
              </w:rPr>
              <w:t xml:space="preserve">Child protection Australia </w:t>
            </w:r>
            <w:r>
              <w:rPr>
                <w:rStyle w:val="row-content-rich-text"/>
                <w:i/>
              </w:rPr>
              <w:t xml:space="preserve">2021–22</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2a57fb014e84431d">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8428be6fcb354146">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25cdb46efe454627">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67428fb51c2949ea">
              <w:r>
                <w:rPr>
                  <w:rStyle w:val="Hyperlink"/>
                </w:rPr>
                <w:t xml:space="preserve">www.aihw.gov.au/about-us</w:t>
              </w:r>
            </w:hyperlink>
            <w:r>
              <w:rPr>
                <w:rStyle w:val="row-content-rich-text"/>
              </w:rPr>
              <w:t xml:space="preserve">, which includes details about the AIHW’s governance (</w:t>
            </w:r>
            <w:hyperlink w:history="true" r:id="Rd44eb3d8facb4750">
              <w:r>
                <w:rPr>
                  <w:rStyle w:val="Hyperlink"/>
                </w:rPr>
                <w:t xml:space="preserve">www.aihw.gov.au/about-us/our-governance</w:t>
              </w:r>
            </w:hyperlink>
            <w:r>
              <w:rPr>
                <w:rStyle w:val="row-content-rich-text"/>
              </w:rPr>
              <w:t xml:space="preserve">), and our role and strategic goals (</w:t>
            </w:r>
            <w:hyperlink w:history="true" r:id="R624370e85c474a09">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Data for the CP NMDS are extracted from administrative systems by state and territory departments responsible for child protection in Australia. These state and territory departments are the:</w:t>
            </w:r>
          </w:p>
          <w:p>
            <w:pPr>
              <w:pStyle w:val="ListParagraph"/>
              <w:numPr>
                <w:ilvl w:val="0"/>
                <w:numId w:val="3"/>
              </w:numPr>
            </w:pPr>
            <w:r>
              <w:rPr>
                <w:rStyle w:val="row-content-rich-text"/>
              </w:rPr>
              <w:t xml:space="preserve">Department of Families, Fairness and Housing, Victoria</w:t>
            </w:r>
          </w:p>
          <w:p>
            <w:pPr>
              <w:pStyle w:val="ListParagraph"/>
              <w:numPr>
                <w:ilvl w:val="0"/>
                <w:numId w:val="3"/>
              </w:numPr>
            </w:pPr>
            <w:r>
              <w:rPr>
                <w:rStyle w:val="row-content-rich-text"/>
              </w:rPr>
              <w:t xml:space="preserve">Department of Children, Youth Justice and Multicultural Affairs, Queensland</w:t>
            </w:r>
          </w:p>
          <w:p>
            <w:pPr>
              <w:pStyle w:val="ListParagraph"/>
              <w:numPr>
                <w:ilvl w:val="0"/>
                <w:numId w:val="3"/>
              </w:numPr>
            </w:pPr>
            <w:r>
              <w:rPr>
                <w:rStyle w:val="row-content-rich-text"/>
              </w:rPr>
              <w:t xml:space="preserve">Department of Communities, Western Australia</w:t>
            </w:r>
          </w:p>
          <w:p>
            <w:pPr>
              <w:pStyle w:val="ListParagraph"/>
              <w:numPr>
                <w:ilvl w:val="0"/>
                <w:numId w:val="3"/>
              </w:numPr>
            </w:pPr>
            <w:r>
              <w:rPr>
                <w:rStyle w:val="row-content-rich-text"/>
              </w:rPr>
              <w:t xml:space="preserve">Department for Child Protection, South Australia</w:t>
            </w:r>
          </w:p>
          <w:p>
            <w:pPr>
              <w:pStyle w:val="ListParagraph"/>
              <w:numPr>
                <w:ilvl w:val="0"/>
                <w:numId w:val="3"/>
              </w:numPr>
            </w:pPr>
            <w:r>
              <w:rPr>
                <w:rStyle w:val="row-content-rich-text"/>
              </w:rPr>
              <w:t xml:space="preserve">Department of Communities,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Department of Territory Families, Housing and Communities, Northern Territory</w:t>
            </w:r>
          </w:p>
          <w:p>
            <w:pPr>
              <w:spacing w:after="160"/>
            </w:pPr>
            <w:r>
              <w:rPr>
                <w:rStyle w:val="row-content-rich-text"/>
              </w:rPr>
              <w:t xml:space="preserve">These data are then supplied to the AIHW as unit record (event-level and child-level) files and forms the basis of the CP NMDS. Any previously unpublished state/territory specific data extracted from the CP NMDS requires approval from jurisdictional data custodians prior to release. An exception is made for the Department of Communities and Justice, New South Wales, where data are provided as aggregate counts.</w:t>
            </w:r>
          </w:p>
          <w:p>
            <w:pPr/>
            <w:r>
              <w:rPr>
                <w:rStyle w:val="row-content-rich-text"/>
              </w:rPr>
              <w:t xml:space="preserve">For further information, see the AIHW website </w:t>
            </w:r>
            <w:hyperlink w:history="true" r:id="Ra9d984bb68334500">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2021–22 CP NMDS is from 1 July 2021 to 30 June 2022. Data relating to child protection investigations includes investigation outcomes recorded up until 31 August 2022, to maximise the currency of these data items.</w:t>
            </w:r>
          </w:p>
          <w:p>
            <w:pPr/>
            <w:r>
              <w:rPr>
                <w:rStyle w:val="row-content-rich-text"/>
              </w:rPr>
              <w:t xml:space="preserve">The state and territory departments responsible for child protection provide data to the AIHW annually, after the end of each financial year. For the 2021–22 collection, the first iteration of data was due to the AIHW in September 2022, and data were finalised for all states and territories in March 2023. Data from the 2021–22 Child Protection Collection were published in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Publications containing national child protection data, including the annual Child protection Australia reports, are available on the AIHW website. These reports are available free of charge.</w:t>
            </w:r>
            <w:r>
              <w:br/>
            </w:r>
            <w:r>
              <w:rPr>
                <w:rStyle w:val="row-content-rich-text"/>
              </w:rPr>
              <w:t xml:space="preserve">Requests for unpublished data can be made by contacting the AIHW website. See </w:t>
            </w:r>
            <w:hyperlink w:history="true" r:id="Rc3c5f8191662401f">
              <w:r>
                <w:rPr>
                  <w:rStyle w:val="Hyperlink"/>
                </w:rPr>
                <w:t xml:space="preserve">data on request</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r>
              <w:br/>
            </w:r>
            <w:r>
              <w:rPr>
                <w:rStyle w:val="row-content-rich-text"/>
              </w:rPr>
              <w:t xml:space="preserve">General inquiries about AIHW publications can be made to (02) 6244 1000 or via email to </w:t>
            </w:r>
            <w:hyperlink w:history="true" r:id="Rdc7f093eb58c46d9">
              <w:r>
                <w:rPr>
                  <w:rStyle w:val="Hyperlink"/>
                </w:rPr>
                <w:t xml:space="preserve">info@aihw.gov.au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child protection system and relevant mandatory reporting requirements, legislation, jurisdictional policy and data systems are presented in appendices A–E of the Child protection Australia reports. Supporting information is also provided in the footnotes accompanying supplementary data tables.</w:t>
            </w:r>
          </w:p>
          <w:p>
            <w:pPr>
              <w:spacing w:after="160"/>
            </w:pPr>
            <w:r>
              <w:rPr>
                <w:rStyle w:val="row-content-rich-text"/>
              </w:rPr>
              <w:t xml:space="preserve">The summary section of the </w:t>
            </w:r>
            <w:hyperlink w:history="true" r:id="R3aab35ad515e4454">
              <w:r>
                <w:rPr>
                  <w:rStyle w:val="Hyperlink"/>
                </w:rPr>
                <w:t xml:space="preserve">Child protection Australia 2021–22</w:t>
              </w:r>
            </w:hyperlink>
            <w:r>
              <w:rPr>
                <w:rStyle w:val="row-content-rich-text"/>
              </w:rPr>
              <w:t xml:space="preserve"> report, Child protection system in Australia, provides an overview of the components of the child protection system, and the glossary provides definitions of key child protection terms.</w:t>
            </w:r>
          </w:p>
          <w:p>
            <w:pPr/>
            <w:r>
              <w:rPr>
                <w:rStyle w:val="row-content-rich-text"/>
              </w:rPr>
              <w:t xml:space="preserve">Metadata for the CP NMDS is available on METEOR, the AIHW’s online metadata registry, and can be accessed at the following page: </w:t>
            </w:r>
            <w:hyperlink w:history="true" r:id="R1050948f319b4500">
              <w:r>
                <w:rPr>
                  <w:rStyle w:val="Hyperlink"/>
                </w:rPr>
                <w:t xml:space="preserve">Child protection NMDS 2021–22 (aihw.gov.au)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CP NMDS is the authoritative source of national Australian child protection data.</w:t>
            </w:r>
          </w:p>
          <w:p>
            <w:pPr>
              <w:spacing w:after="160"/>
            </w:pPr>
            <w:r>
              <w:rPr>
                <w:rStyle w:val="row-content-rich-text"/>
              </w:rPr>
              <w:t xml:space="preserve">The CP NMDS includes several modules on notifications, investigations and substantiations; care and protection orders; out-of-home care, authorised carers including foster and relative/kinship carers; and safety in care from 2020–21. Where available, these modules provide information on children within each system and the child protection cases, placements and households relating to children and the services provided.</w:t>
            </w:r>
          </w:p>
          <w:p>
            <w:pPr>
              <w:spacing w:after="160"/>
            </w:pPr>
            <w:r>
              <w:rPr>
                <w:rStyle w:val="row-content-rich-text"/>
              </w:rPr>
              <w:t xml:space="preserve">The overlaps between the three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date of birth,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the numbers of admissions to and discharges from care and protection orders and out-of-home care; and information on households providing foster and relative/kinship care placements. </w:t>
            </w:r>
          </w:p>
          <w:p>
            <w:pPr>
              <w:spacing w:after="160"/>
            </w:pPr>
            <w:r>
              <w:rPr>
                <w:rStyle w:val="row-content-rich-text"/>
              </w:rPr>
              <w:t xml:space="preserve">As well as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spacing w:after="160"/>
            </w:pPr>
            <w:r>
              <w:rPr>
                <w:rStyle w:val="row-content-rich-text"/>
              </w:rPr>
              <w:t xml:space="preserve">Data sourced from the CP NMDS are used in the following products:</w:t>
            </w:r>
          </w:p>
          <w:p>
            <w:pPr>
              <w:pStyle w:val="ListParagraph"/>
              <w:numPr>
                <w:ilvl w:val="0"/>
                <w:numId w:val="4"/>
              </w:numPr>
            </w:pPr>
            <w:r>
              <w:rPr>
                <w:rStyle w:val="row-content-rich-text"/>
                <w:i/>
              </w:rPr>
              <w:t xml:space="preserve">Child protection Australia</w:t>
            </w:r>
            <w:r>
              <w:rPr>
                <w:rStyle w:val="row-content-rich-text"/>
              </w:rPr>
              <w:t xml:space="preserve"> web report, which includes the following four releases:</w:t>
            </w:r>
            <w:r>
              <w:br/>
            </w:r>
            <w:r>
              <w:rPr>
                <w:rStyle w:val="row-content-rich-text"/>
              </w:rPr>
              <w:t xml:space="preserve">        • Insights</w:t>
            </w:r>
            <w:r>
              <w:br/>
            </w:r>
            <w:r>
              <w:rPr>
                <w:rStyle w:val="row-content-rich-text"/>
              </w:rPr>
              <w:t xml:space="preserve">        • Safety of children in care</w:t>
            </w:r>
            <w:r>
              <w:br/>
            </w:r>
            <w:r>
              <w:rPr>
                <w:rStyle w:val="row-content-rich-text"/>
              </w:rPr>
              <w:t xml:space="preserve">        • Aboriginal and Torres Strait Islander children </w:t>
            </w:r>
            <w:r>
              <w:br/>
            </w:r>
            <w:r>
              <w:rPr>
                <w:rStyle w:val="row-content-rich-text"/>
              </w:rPr>
              <w:t xml:space="preserve">        • Pathways from out-of-home care</w:t>
            </w:r>
          </w:p>
          <w:p>
            <w:pPr>
              <w:pStyle w:val="ListParagraph"/>
              <w:numPr>
                <w:ilvl w:val="0"/>
                <w:numId w:val="4"/>
              </w:numPr>
            </w:pPr>
            <w:r>
              <w:rPr>
                <w:rStyle w:val="row-content-rich-text"/>
                <w:i/>
              </w:rPr>
              <w:t xml:space="preserve">Report on Government Services</w:t>
            </w:r>
            <w:r>
              <w:rPr>
                <w:rStyle w:val="row-content-rich-text"/>
              </w:rPr>
              <w:t xml:space="preserve"> for all jurisdictions except New South Wales (see </w:t>
            </w:r>
            <w:hyperlink w:history="true" r:id="Re92c970366ee48f4">
              <w:r>
                <w:rPr>
                  <w:rStyle w:val="Hyperlink"/>
                </w:rPr>
                <w:t xml:space="preserve">https://www.pc.gov.au/ongoing/report-on-government-services/2023/community-services/child-protection)</w:t>
              </w:r>
            </w:hyperlink>
          </w:p>
          <w:p>
            <w:pPr>
              <w:pStyle w:val="ListParagraph"/>
              <w:numPr>
                <w:ilvl w:val="0"/>
                <w:numId w:val="4"/>
              </w:numPr>
            </w:pPr>
            <w:r>
              <w:rPr>
                <w:rStyle w:val="row-content-rich-text"/>
              </w:rPr>
              <w:t xml:space="preserve">Closing the Gap reporting </w:t>
            </w:r>
          </w:p>
          <w:p>
            <w:pPr>
              <w:pStyle w:val="ListParagraph"/>
              <w:numPr>
                <w:ilvl w:val="0"/>
                <w:numId w:val="4"/>
              </w:numPr>
            </w:pPr>
            <w:r>
              <w:rPr>
                <w:rStyle w:val="row-content-rich-text"/>
              </w:rPr>
              <w:t xml:space="preserve">Customised data requests </w:t>
            </w:r>
          </w:p>
          <w:p>
            <w:pPr>
              <w:spacing w:after="160"/>
            </w:pPr>
            <w:r>
              <w:rPr>
                <w:rStyle w:val="row-content-rich-text"/>
                <w:b/>
              </w:rPr>
              <w:t xml:space="preserve">Scope and coverage</w:t>
            </w:r>
          </w:p>
          <w:p>
            <w:pPr>
              <w:spacing w:after="160"/>
            </w:pPr>
            <w:r>
              <w:rPr>
                <w:rStyle w:val="row-content-rich-text"/>
              </w:rPr>
              <w:t xml:space="preserve">CP NMDS data are based only on those cases reported to departments responsible for child protection. Therefore, it is likely the true rate of child abuse and neglect across Australia is understated. Further, notifications made to other organisations, such as the police or non-government welfare agencies, are included only if they were also referred to departments responsible for child protection.</w:t>
            </w:r>
          </w:p>
          <w:p>
            <w:pPr>
              <w:spacing w:after="160"/>
            </w:pPr>
            <w:r>
              <w:rPr>
                <w:rStyle w:val="row-content-rich-text"/>
              </w:rPr>
              <w:t xml:space="preserve">As children may be involved in more than one component of the child protection system,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in the child protection system—along with the overlaps between the separate data modules—have been reported since 2012–13.</w:t>
            </w:r>
          </w:p>
          <w:p>
            <w:pPr>
              <w:spacing w:after="160"/>
            </w:pPr>
            <w:r>
              <w:rPr>
                <w:rStyle w:val="row-content-rich-text"/>
              </w:rPr>
              <w:t xml:space="preserve">Each year, a number of children are the subjects of more than one notification and/or substantiation during the year. The proportion of children who were the subject of more than one substantiation in the year have also been reported since 2012–13.</w:t>
            </w:r>
          </w:p>
          <w:p>
            <w:pPr>
              <w:spacing w:after="160"/>
            </w:pPr>
            <w:r>
              <w:rPr>
                <w:rStyle w:val="row-content-rich-text"/>
              </w:rPr>
              <w:t xml:space="preserve">The CP NMDS also includes data on safety in care. This refers to children who were the subject of a substantiation of abuse that occurred while they were in the care of the state or territory. This includes abuse while the child was in out-of-home care, on a third-party parental order, or on an order that transfers full or partial parental responsibility to an agent of the state or territory. These data have been reported since 2020–21. </w:t>
            </w:r>
          </w:p>
          <w:p>
            <w:pPr/>
            <w:r>
              <w:rPr>
                <w:rStyle w:val="row-content-rich-text"/>
              </w:rPr>
              <w:t xml:space="preserve">Ongoing work is being undertaken on the CP NMDS to broaden the scope of the national data collection and to improve quality and comparability of data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 a ‘snapshot’ of the data at the time of extraction and may not include retrospective updates made to data held by state/territory departments.</w:t>
            </w:r>
          </w:p>
          <w:p>
            <w:pPr>
              <w:spacing w:after="160"/>
            </w:pPr>
            <w:r>
              <w:rPr>
                <w:rStyle w:val="row-content-rich-text"/>
                <w:b/>
              </w:rPr>
              <w:t xml:space="preserve">Data quality</w:t>
            </w:r>
          </w:p>
          <w:p>
            <w:pPr>
              <w:spacing w:after="160"/>
            </w:pPr>
            <w:r>
              <w:rPr>
                <w:rStyle w:val="row-content-rich-text"/>
              </w:rPr>
              <w:t xml:space="preserve">Overall, the quality and coverage of the CP NMDS are good. However, data availability can affect the interpretability of some data.</w:t>
            </w:r>
          </w:p>
          <w:p>
            <w:pPr>
              <w:pStyle w:val="ListParagraph"/>
              <w:numPr>
                <w:ilvl w:val="0"/>
                <w:numId w:val="5"/>
              </w:numPr>
            </w:pPr>
            <w:r>
              <w:rPr>
                <w:rStyle w:val="row-content-rich-text"/>
              </w:rPr>
              <w:t xml:space="preserve">Socioeconomic status and remoteness analyses are based either on SA2 or postcode at the time of notification, and/or of the living arrangement. It should be noted that SA2 or postcode can be recorded at different times: at the time the abuse or neglect took place, or at the time of the notification, investigation or substantiation.</w:t>
            </w:r>
          </w:p>
          <w:p>
            <w:pPr>
              <w:pStyle w:val="ListParagraph"/>
              <w:numPr>
                <w:ilvl w:val="0"/>
                <w:numId w:val="5"/>
              </w:numPr>
            </w:pPr>
            <w:r>
              <w:rPr>
                <w:rStyle w:val="row-content-rich-text"/>
              </w:rPr>
              <w:t xml:space="preserve">Differences may exist across jurisdictions in how disability is defined and captured. Disability status is available for 71% of children in out-of-home care with disability status not stated for 29% of children in out-of-home care.</w:t>
            </w:r>
          </w:p>
          <w:p>
            <w:pPr>
              <w:pStyle w:val="ListParagraph"/>
              <w:numPr>
                <w:ilvl w:val="0"/>
                <w:numId w:val="5"/>
              </w:numPr>
            </w:pPr>
            <w:r>
              <w:rPr>
                <w:rStyle w:val="row-content-rich-text"/>
              </w:rPr>
              <w:t xml:space="preserve">New South Wales data do not include children on finalised supervisory orders and do not strictly conform to the national counting rules for admissions to care and protection orders.</w:t>
            </w:r>
          </w:p>
          <w:p>
            <w:pPr>
              <w:pStyle w:val="ListParagraph"/>
              <w:numPr>
                <w:ilvl w:val="0"/>
                <w:numId w:val="5"/>
              </w:numPr>
            </w:pPr>
            <w:r>
              <w:rPr>
                <w:rStyle w:val="row-content-rich-text"/>
              </w:rPr>
              <w:t xml:space="preserve">Tasmania data exclude children not under care and protection orders placed with relatives for whom a financial contribution is made under the Supported Extended Family or Relatives Allowance programs.</w:t>
            </w:r>
          </w:p>
          <w:p>
            <w:pPr>
              <w:pStyle w:val="ListParagraph"/>
              <w:numPr>
                <w:ilvl w:val="0"/>
                <w:numId w:val="5"/>
              </w:numPr>
            </w:pPr>
            <w:r>
              <w:rPr>
                <w:rStyle w:val="row-content-rich-text"/>
              </w:rPr>
              <w:t xml:space="preserve">Some data on carer households were not available for New South Wales.</w:t>
            </w:r>
          </w:p>
          <w:p>
            <w:pPr>
              <w:pStyle w:val="ListParagraph"/>
              <w:numPr>
                <w:ilvl w:val="0"/>
                <w:numId w:val="5"/>
              </w:numPr>
            </w:pPr>
            <w:r>
              <w:rPr>
                <w:rStyle w:val="row-content-rich-text"/>
              </w:rPr>
              <w:t xml:space="preserve">Due to recording issues in the Northern Territory, sexual exploitation is under-reported.</w:t>
            </w:r>
          </w:p>
          <w:p>
            <w:pPr>
              <w:pStyle w:val="ListParagraph"/>
              <w:numPr>
                <w:ilvl w:val="0"/>
                <w:numId w:val="5"/>
              </w:numPr>
            </w:pPr>
            <w:r>
              <w:rPr>
                <w:rStyle w:val="row-content-rich-text"/>
              </w:rPr>
              <w:t xml:space="preserve">Data on the relationship of relative/kinship carers were not available for New South Wales, South Australia and the Northern Territory. Data presented covers 24% of children in placements with relatives/kin.</w:t>
            </w:r>
          </w:p>
          <w:p>
            <w:pPr/>
            <w:r>
              <w:rPr>
                <w:rStyle w:val="row-content-rich-text"/>
              </w:rPr>
              <w:t xml:space="preserve">Where data are missing for one or more jurisdiction(s), totals reported may be an undercount.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have been provided to the AIHW since 1993 under the agreement between the Australian Government, the states and territories and the AIHW concerning the provision of data on welfare services. These data were provided in aggregate format by the state or territory departments responsible for child protection from 1990–91 to 2011–12. </w:t>
            </w:r>
          </w:p>
          <w:p>
            <w:pPr>
              <w:spacing w:after="160"/>
            </w:pPr>
            <w:r>
              <w:rPr>
                <w:rStyle w:val="row-content-rich-text"/>
              </w:rPr>
              <w:t xml:space="preserve">The ability to replicate and expand on existing national reporting was the primary focus of the CP NMDS when it was implemented in 2012–13. Existing national technical specifications were retained and clarified as part of this process. From 2012–13 onwards, the CP NMDS included data for all jurisdictions except New South Wales and Queensland who continued to provide aggregate child protection data. </w:t>
            </w:r>
          </w:p>
          <w:p>
            <w:pPr>
              <w:spacing w:after="160"/>
            </w:pPr>
            <w:r>
              <w:rPr>
                <w:rStyle w:val="row-content-rich-text"/>
              </w:rPr>
              <w:t xml:space="preserve">Queensland supplied unit record CP NMDS files for the first time in 2014–15. Queensland data for 2014–15 onward are not comparable with data for previous years.</w:t>
            </w:r>
          </w:p>
          <w:p>
            <w:pPr>
              <w:spacing w:after="160"/>
            </w:pPr>
            <w:r>
              <w:rPr>
                <w:rStyle w:val="row-content-rich-text"/>
              </w:rPr>
              <w:t xml:space="preserve">The Northern Territory provided unit record carer data for the first time in 2015–16, which may not be comparable to aggregate data provided by the Northern Territory prior to 2015–16. From 2018–19, the counting methodology for kinship care has been redefined in the Northern Territory. As a result, kinship care that has previously been counted under the ‘foster care’ category has been separated into foster and kinship to provide a more accurate reflection of the care provided.</w:t>
            </w:r>
          </w:p>
          <w:p>
            <w:pPr>
              <w:spacing w:after="160"/>
            </w:pPr>
            <w:r>
              <w:rPr>
                <w:rStyle w:val="row-content-rich-text"/>
              </w:rPr>
              <w:t xml:space="preserve">A nationally consistent definition for out-of-home care was implemented for all jurisdictions in 2018–19 and in 2019–20 the out-of-home care data were back cast to 2016–17 using the national definition. Due to data revisions, data for 2016–17 and 2017–18 may differ from those published elsewhere. Data should not be compared with data published in previous versions of </w:t>
            </w:r>
            <w:r>
              <w:rPr>
                <w:rStyle w:val="row-content-rich-text"/>
                <w:i/>
              </w:rPr>
              <w:t xml:space="preserve">Child protection Australia</w:t>
            </w:r>
            <w:r>
              <w:rPr>
                <w:rStyle w:val="row-content-rich-text"/>
              </w:rPr>
              <w:t xml:space="preserve"> reports.</w:t>
            </w:r>
          </w:p>
          <w:p>
            <w:pPr>
              <w:spacing w:after="160"/>
            </w:pPr>
            <w:r>
              <w:rPr>
                <w:rStyle w:val="row-content-rich-text"/>
              </w:rPr>
              <w:t xml:space="preserve">The standard AIHW practice is to present 5-year trends in data, as changes in state and territory legislation, policy/practice and information management systems reduce the ability to accurately compare CP NMDS data over longer periods. Changes that have an impact on the data are provided as caveats to the data and in relevant appendices to </w:t>
            </w:r>
            <w:r>
              <w:rPr>
                <w:rStyle w:val="row-content-rich-text"/>
                <w:i/>
              </w:rPr>
              <w:t xml:space="preserve">Child protection Australia</w:t>
            </w:r>
            <w:r>
              <w:rPr>
                <w:rStyle w:val="row-content-rich-text"/>
              </w:rPr>
              <w:t xml:space="preserve"> report.</w:t>
            </w:r>
          </w:p>
          <w:p>
            <w:pPr>
              <w:spacing w:after="160"/>
            </w:pPr>
            <w:r>
              <w:rPr>
                <w:rStyle w:val="row-content-rich-text"/>
              </w:rPr>
              <w:t xml:space="preserve">Increases over time in the number or rate of children in the child protection system or children receiving support may relate to legislative changes, such as the expansion of the list of occupations that is mandated to report cases of suspected child maltreatment or increases in public awareness from inquiries into child protection processes.</w:t>
            </w:r>
          </w:p>
          <w:p>
            <w:pPr>
              <w:spacing w:after="160"/>
            </w:pPr>
            <w:r>
              <w:rPr>
                <w:rStyle w:val="row-content-rich-text"/>
              </w:rPr>
              <w:t xml:space="preserve">Data extracted from the CP NMDS represent a ‘snapshot’ of the data at the time of extraction and may not include retrospective updates made to data held by state/territory departments. Furthermore, data produced from the CP NMDS are based on nationally agreed specifications and may not match state and territory figures published elsewhere or be comparable with data for previous years.</w:t>
            </w:r>
          </w:p>
          <w:p>
            <w:pPr/>
            <w:r>
              <w:rPr>
                <w:rStyle w:val="row-content-rich-text"/>
              </w:rPr>
              <w:t xml:space="preserve">Differences in data reported from the CP NMDS across the annual</w:t>
            </w:r>
            <w:r>
              <w:rPr>
                <w:rStyle w:val="row-content-rich-text"/>
                <w:i/>
              </w:rPr>
              <w:t xml:space="preserve"> Child protection Australia</w:t>
            </w:r>
            <w:r>
              <w:rPr>
                <w:rStyle w:val="row-content-rich-text"/>
              </w:rPr>
              <w:t xml:space="preserve"> and </w:t>
            </w:r>
            <w:r>
              <w:rPr>
                <w:rStyle w:val="row-content-rich-text"/>
                <w:i/>
              </w:rPr>
              <w:t xml:space="preserve">Report on Government Services</w:t>
            </w:r>
            <w:r>
              <w:rPr>
                <w:rStyle w:val="row-content-rich-text"/>
              </w:rPr>
              <w:t xml:space="preserve"> reports may be due to retrospective updates to state/territory data and differences in the data extraction and analysis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bab4085c9f4def">
              <w:r>
                <w:rPr>
                  <w:rStyle w:val="Hyperlink"/>
                </w:rPr>
                <w:t xml:space="preserve">Child Protection National Minimum Dataset, 2020–21 Data Quality Statement</w:t>
              </w:r>
            </w:hyperlink>
          </w:p>
          <w:p>
            <w:pPr>
              <w:pStyle w:val="registration-status"/>
              <w:spacing w:before="0" w:after="0"/>
            </w:pPr>
            <w:hyperlink w:history="true" r:id="R75189472a1054106">
              <w:r>
                <w:rPr>
                  <w:rStyle w:val="Hyperlink"/>
                  <w:color w:val="244061"/>
                </w:rPr>
                <w:t xml:space="preserve">AIHW Data Quality Statements</w:t>
              </w:r>
            </w:hyperlink>
            <w:r>
              <w:rPr>
                <w:rStyle w:val="row-content"/>
                <w:color w:val="244061"/>
              </w:rPr>
              <w:t xml:space="preserve">, Standard 15/06/2022</w:t>
            </w:r>
          </w:p>
          <w:p>
            <w:r>
              <w:br/>
            </w:r>
          </w:p>
        </w:tc>
      </w:tr>
    </w:tbl>
    <w:p>
      <w:r>
        <w:br/>
      </w:r>
    </w:p>
    <w:sectPr>
      <w:footerReference xmlns:r="http://schemas.openxmlformats.org/officeDocument/2006/relationships" w:type="default" r:id="R7cde2ec1d4d8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776828</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9146426b794d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de2ec1d4d84178" /><Relationship Type="http://schemas.openxmlformats.org/officeDocument/2006/relationships/header" Target="/word/header1.xml" Id="R2636af41b0dd4637" /><Relationship Type="http://schemas.openxmlformats.org/officeDocument/2006/relationships/settings" Target="/word/settings.xml" Id="R02471475ee99433c" /><Relationship Type="http://schemas.openxmlformats.org/officeDocument/2006/relationships/styles" Target="/word/styles.xml" Id="Rfbef6ba0385e4da8" /><Relationship Type="http://schemas.openxmlformats.org/officeDocument/2006/relationships/numbering" Target="/word/numbering.xml" Id="R1edfc7278c1840ee" /><Relationship Type="http://schemas.openxmlformats.org/officeDocument/2006/relationships/hyperlink" Target="https://meteor.aihw.gov.au/RegistrationAuthority/5" TargetMode="External" Id="R1d234e941db74d83" /><Relationship Type="http://schemas.openxmlformats.org/officeDocument/2006/relationships/hyperlink" Target="https://www.legislation.gov.au/Series/C2004A03450" TargetMode="External" Id="R2a57fb014e84431d" /><Relationship Type="http://schemas.openxmlformats.org/officeDocument/2006/relationships/hyperlink" Target="http://www.aihw.gov.au/aihw-board/" TargetMode="External" Id="R8428be6fcb354146" /><Relationship Type="http://schemas.openxmlformats.org/officeDocument/2006/relationships/hyperlink" Target="https://www.legislation.gov.au/Series/C2004A03712" TargetMode="External" Id="R25cdb46efe454627" /><Relationship Type="http://schemas.openxmlformats.org/officeDocument/2006/relationships/hyperlink" Target="https://www.aihw.gov.au/about-us" TargetMode="External" Id="R67428fb51c2949ea" /><Relationship Type="http://schemas.openxmlformats.org/officeDocument/2006/relationships/hyperlink" Target="https://www.aihw.gov.au/about-us/our-governance" TargetMode="External" Id="Rd44eb3d8facb4750" /><Relationship Type="http://schemas.openxmlformats.org/officeDocument/2006/relationships/hyperlink" Target="https://www.aihw.gov.au/about-us/our-vision-and-strategic-goals" TargetMode="External" Id="R624370e85c474a09" /><Relationship Type="http://schemas.openxmlformats.org/officeDocument/2006/relationships/hyperlink" Target="http://www.aihw.gov.au/" TargetMode="External" Id="Ra9d984bb68334500" /><Relationship Type="http://schemas.openxmlformats.org/officeDocument/2006/relationships/hyperlink" Target="https://www.aihw.gov.au/our-services/data-on-request" TargetMode="External" Id="Rc3c5f8191662401f" /><Relationship Type="http://schemas.openxmlformats.org/officeDocument/2006/relationships/hyperlink" Target="mailto:info@aihw.gov.au" TargetMode="External" Id="Rdc7f093eb58c46d9" /><Relationship Type="http://schemas.openxmlformats.org/officeDocument/2006/relationships/hyperlink" Target="https://www.aihw.gov.au/reports/child-protection/child-protection-australia-2021-22/contents/about" TargetMode="External" Id="R3aab35ad515e4454" /><Relationship Type="http://schemas.openxmlformats.org/officeDocument/2006/relationships/hyperlink" Target="https://meteor.aihw.gov.au/content/773440" TargetMode="External" Id="R1050948f319b4500" /><Relationship Type="http://schemas.openxmlformats.org/officeDocument/2006/relationships/hyperlink" Target="https://www.pc.gov.au/ongoing/report-on-government-services/2023/community-services/child-protection" TargetMode="External" Id="Re92c970366ee48f4" /><Relationship Type="http://schemas.openxmlformats.org/officeDocument/2006/relationships/hyperlink" Target="https://meteor.aihw.gov.au/content/757571" TargetMode="External" Id="R0bbab4085c9f4def" /><Relationship Type="http://schemas.openxmlformats.org/officeDocument/2006/relationships/hyperlink" Target="https://meteor.aihw.gov.au/RegistrationAuthority/5" TargetMode="External" Id="R75189472a1054106" /></Relationships>
</file>

<file path=word/_rels/header1.xml.rels>&#65279;<?xml version="1.0" encoding="utf-8"?><Relationships xmlns="http://schemas.openxmlformats.org/package/2006/relationships"><Relationship Type="http://schemas.openxmlformats.org/officeDocument/2006/relationships/image" Target="/media/image.png" Id="Ra79146426b794d6e" /></Relationships>
</file>