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f8010762946f8" /></Relationships>
</file>

<file path=word/document.xml><?xml version="1.0" encoding="utf-8"?>
<w:document xmlns:r="http://schemas.openxmlformats.org/officeDocument/2006/relationships" xmlns:w="http://schemas.openxmlformats.org/wordprocessingml/2006/main">
  <w:body>
    <w:p>
      <w:pPr>
        <w:pStyle w:val="Title"/>
      </w:pPr>
      <w:r>
        <w:t>Perinatal Mortality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ec3e9eb9644a6">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a827a5b93da942ab">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b6e349364224086">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ccf148d31e3467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14b26db3c444160">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3622e84fa5b425f">
              <w:r>
                <w:rPr>
                  <w:rStyle w:val="Hyperlink"/>
                  <w:b/>
                </w:rPr>
                <w:t xml:space="preserve">​Neonatal death</w:t>
              </w:r>
            </w:hyperlink>
          </w:p>
          <w:p>
            <w:hyperlink w:tooltip="A live birth who is less than 28 days old." w:history="true" r:id="R7d27d5ffcb7d4cc3">
              <w:r>
                <w:rPr>
                  <w:rStyle w:val="Hyperlink"/>
                  <w:b/>
                </w:rPr>
                <w:t xml:space="preserve">​Neonate</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31eb752dbe2c40da">
              <w:r>
                <w:rPr>
                  <w:rStyle w:val="Hyperlink"/>
                  <w:b/>
                </w:rPr>
                <w:t xml:space="preserve">​Perinatal death</w:t>
              </w:r>
            </w:hyperlink>
          </w:p>
          <w:p>
            <w:hyperlink w:tooltip="The perinatal period commences at 20 completed weeks (140 days) of gestation and ends 28 completed days after birth." w:history="true" r:id="Re0e4a8e49afc4d06">
              <w:r>
                <w:rPr>
                  <w:rStyle w:val="Hyperlink"/>
                  <w:b/>
                </w:rPr>
                <w:t xml:space="preserve">​Perinatal period</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52aed80fc51496c">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3f52480e6cf04a10">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352d3cde7b4459">
              <w:r>
                <w:rPr>
                  <w:rStyle w:val="Hyperlink"/>
                </w:rPr>
                <w:t xml:space="preserve">Perinatal Mortality NBEDS 2023–24</w:t>
              </w:r>
            </w:hyperlink>
          </w:p>
          <w:p>
            <w:pPr>
              <w:spacing w:before="0" w:after="0"/>
            </w:pPr>
            <w:r>
              <w:rPr>
                <w:rStyle w:val="row-content"/>
                <w:color w:val="244061"/>
              </w:rPr>
              <w:t xml:space="preserve">       </w:t>
            </w:r>
            <w:hyperlink w:history="true" r:id="Rd56fd46ce0214c2f">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3fb09820682c4847">
              <w:r>
                <w:rPr>
                  <w:rStyle w:val="Hyperlink"/>
                </w:rPr>
                <w:t xml:space="preserve">Perinatal NBEDS 2024–25</w:t>
              </w:r>
            </w:hyperlink>
          </w:p>
          <w:p>
            <w:pPr>
              <w:spacing w:before="0" w:after="0"/>
            </w:pPr>
            <w:r>
              <w:rPr>
                <w:rStyle w:val="row-content"/>
                <w:color w:val="244061"/>
              </w:rPr>
              <w:t xml:space="preserve">       </w:t>
            </w:r>
            <w:hyperlink w:history="true" r:id="Racac728e9ddb4fb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00e24d5cf7a43f7">
              <w:r>
                <w:rPr>
                  <w:rStyle w:val="Hyperlink"/>
                </w:rPr>
                <w:t xml:space="preserve">Perinatal NMDS 2024–25</w:t>
              </w:r>
            </w:hyperlink>
          </w:p>
          <w:p>
            <w:pPr>
              <w:spacing w:before="0" w:after="0"/>
            </w:pPr>
            <w:r>
              <w:rPr>
                <w:rStyle w:val="row-content"/>
                <w:color w:val="244061"/>
              </w:rPr>
              <w:t xml:space="preserve">       </w:t>
            </w:r>
            <w:hyperlink w:history="true" r:id="R0deeb340bb754467">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e29bd9d504904">
                    <w:r>
                      <w:rPr>
                        <w:rStyle w:val="Hyperlink"/>
                      </w:rPr>
                      <w:t xml:space="preserve">Birth event—state/territory of birth, code N[N]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0a773345f4c47">
                    <w:r>
                      <w:rPr>
                        <w:rStyle w:val="Hyperlink"/>
                      </w:rPr>
                      <w:t xml:space="preserve">Death—contributory factors review flag, yes/no/not applicable/not stated/inadequately described code N</w:t>
                    </w:r>
                  </w:hyperlink>
                </w:p>
                <w:p>
                  <w:r>
                    <w:rPr>
                      <w:b/>
                      <w:i/>
                      <w:color w:val="333333"/>
                    </w:rPr>
                    <w:t xml:space="preserve">DSS specific information:</w:t>
                  </w:r>
                </w:p>
                <w:p>
                  <w:r>
                    <w:t xml:space="preserve">A contributory factor review refers to the systematic review by a senior clinical advisor or multidisciplinary team regarding the circumstances and care leading up to a perinatal death to identify which, if any, factors may have contributed to the death.</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793edb4054921">
                    <w:r>
                      <w:rPr>
                        <w:rStyle w:val="Hyperlink"/>
                      </w:rPr>
                      <w:t xml:space="preserve">Person—date of birth, DDMMYYYY</w:t>
                    </w:r>
                  </w:hyperlink>
                </w:p>
                <w:p>
                  <w:r>
                    <w:rPr>
                      <w:b/>
                      <w:i/>
                      <w:color w:val="333333"/>
                    </w:rPr>
                    <w:t xml:space="preserve">DSS specific information:</w:t>
                  </w:r>
                </w:p>
                <w:p>
                  <w:r>
                    <w:t xml:space="preserve">This data element should be collected for the baby. </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a6798d6b94e4f">
                    <w:r>
                      <w:rPr>
                        <w:rStyle w:val="Hyperlink"/>
                      </w:rPr>
                      <w:t xml:space="preserve">Person—date of death, DDMMYYYY</w:t>
                    </w:r>
                  </w:hyperlink>
                </w:p>
                <w:p>
                  <w:r>
                    <w:rPr>
                      <w:b/>
                      <w:i/>
                      <w:color w:val="333333"/>
                    </w:rPr>
                    <w:t xml:space="preserve">DSS specific information:</w:t>
                  </w:r>
                </w:p>
                <w:p>
                  <w:r>
                    <w:t xml:space="preserve">This data element should be collected for the baby. </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1f7f85b4f4025">
                    <w:r>
                      <w:rPr>
                        <w:rStyle w:val="Hyperlink"/>
                      </w:rPr>
                      <w:t xml:space="preserve">Person—person identifier, XXXXXX[X(14)]</w:t>
                    </w:r>
                  </w:hyperlink>
                </w:p>
                <w:p>
                  <w:r>
                    <w:rPr>
                      <w:b/>
                      <w:i/>
                      <w:color w:val="333333"/>
                    </w:rPr>
                    <w:t xml:space="preserve">DSS specific information:</w:t>
                  </w:r>
                </w:p>
                <w:p>
                  <w:r>
                    <w:t xml:space="preserve">This data element should be collected once for the mother and once for the baby. </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f0b9285b548a8">
                    <w:r>
                      <w:rPr>
                        <w:rStyle w:val="Hyperlink"/>
                      </w:rPr>
                      <w:t xml:space="preserve">Person—setting of death, perinatal code N</w:t>
                    </w:r>
                  </w:hyperlink>
                </w:p>
                <w:p>
                  <w:r>
                    <w:rPr>
                      <w:b/>
                      <w:i/>
                      <w:color w:val="333333"/>
                    </w:rPr>
                    <w:t xml:space="preserve">Conditional obligation:</w:t>
                  </w:r>
                </w:p>
                <w:p>
                  <w:r>
                    <w:t xml:space="preserve">This data element is only to be recorded if the response to the </w:t>
                  </w:r>
                  <w:hyperlink w:history="true" r:id="Rdf9ae5670ca84605">
                    <w:r>
                      <w:rPr>
                        <w:rStyle w:val="Hyperlink"/>
                      </w:rPr>
                      <w:t xml:space="preserve">Product of birth—perinatal death type, code N</w:t>
                    </w:r>
                  </w:hyperlink>
                  <w:r>
                    <w:t xml:space="preserve"> data element is CODE 2 (Neonatal death). </w:t>
                  </w:r>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52aede5e24555">
                    <w:r>
                      <w:rPr>
                        <w:rStyle w:val="Hyperlink"/>
                      </w:rPr>
                      <w:t xml:space="preserve">Pregnancy—reason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c43b3ffda4c9d">
                    <w:r>
                      <w:rPr>
                        <w:rStyle w:val="Hyperlink"/>
                      </w:rPr>
                      <w:t xml:space="preserve">Product of birth—age at death, total days N[N]</w:t>
                    </w:r>
                  </w:hyperlink>
                </w:p>
                <w:p>
                  <w:r>
                    <w:rPr>
                      <w:b/>
                      <w:i/>
                      <w:color w:val="333333"/>
                    </w:rPr>
                    <w:t xml:space="preserve">Conditional obligation:</w:t>
                  </w:r>
                </w:p>
                <w:p>
                  <w:r>
                    <w:t xml:space="preserve">This data element is only to be recorded if the response to the </w:t>
                  </w:r>
                  <w:hyperlink w:history="true" r:id="R5541ba413b674488">
                    <w:r>
                      <w:rPr>
                        <w:rStyle w:val="Hyperlink"/>
                      </w:rPr>
                      <w:t xml:space="preserve">Product of birth—perinatal death type, code N</w:t>
                    </w:r>
                  </w:hyperlink>
                  <w:r>
                    <w:t xml:space="preserve"> data element is CODE 2 (Neonatal death).</w:t>
                  </w:r>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84e66b16246ca">
                    <w:r>
                      <w:rPr>
                        <w:rStyle w:val="Hyperlink"/>
                      </w:rPr>
                      <w:t xml:space="preserve">Product of birth—autopsy offered flag, yes/no/unknown/not stated/inadequately described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43a1b323e48b0">
                    <w:r>
                      <w:rPr>
                        <w:rStyle w:val="Hyperlink"/>
                      </w:rPr>
                      <w:t xml:space="preserve">Product of birth—birth order,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9ff7a59e84eff">
                    <w:r>
                      <w:rPr>
                        <w:rStyle w:val="Hyperlink"/>
                      </w:rPr>
                      <w:t xml:space="preserve">Product of birth—histopathological examination of placenta indicator, yes/no/not stated/inadequately described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fd2d9c3954d54">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cc4a99aa14418">
                    <w:r>
                      <w:rPr>
                        <w:rStyle w:val="Hyperlink"/>
                      </w:rPr>
                      <w:t xml:space="preserve">Product of birth—primary cause of neonatal death, PSANZ neonatal death classification code [N]N.N[NN]</w:t>
                    </w:r>
                  </w:hyperlink>
                </w:p>
                <w:p>
                  <w:r>
                    <w:rPr>
                      <w:b/>
                      <w:i/>
                      <w:color w:val="333333"/>
                    </w:rPr>
                    <w:t xml:space="preserve">Conditional obligation:</w:t>
                  </w:r>
                </w:p>
                <w:p>
                  <w:r>
                    <w:t xml:space="preserve">This data element is only to be recorded if the response to the </w:t>
                  </w:r>
                  <w:hyperlink w:history="true" r:id="R0fc8d91ac2d345ad">
                    <w:r>
                      <w:rPr>
                        <w:rStyle w:val="Hyperlink"/>
                      </w:rPr>
                      <w:t xml:space="preserve">Product of birth—perinatal death type, code N</w:t>
                    </w:r>
                  </w:hyperlink>
                  <w:r>
                    <w:t xml:space="preserve"> data element is recorded as CODE 2 (Neonatal death). </w:t>
                  </w:r>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0625820814cb0">
                    <w:r>
                      <w:rPr>
                        <w:rStyle w:val="Hyperlink"/>
                      </w:rPr>
                      <w:t xml:space="preserve">Product of birth—primary cause of perinatal death, PSANZ Perinatal Death Classification code [N]N.N[NNN]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d6894dc0f4e52">
                    <w:r>
                      <w:rPr>
                        <w:rStyle w:val="Hyperlink"/>
                      </w:rPr>
                      <w:t xml:space="preserve">Product of birth—state/territory of death,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cff7af6514aa4">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d54bec7fce834abc">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8d2ca05fa44d6">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5b26cd92fb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028897144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b26cd92fb4c86" /><Relationship Type="http://schemas.openxmlformats.org/officeDocument/2006/relationships/header" Target="/word/header1.xml" Id="R80f16a00ba17423c" /><Relationship Type="http://schemas.openxmlformats.org/officeDocument/2006/relationships/settings" Target="/word/settings.xml" Id="R5438a0eac9fe497c" /><Relationship Type="http://schemas.openxmlformats.org/officeDocument/2006/relationships/styles" Target="/word/styles.xml" Id="R9841aefe21a84a93" /><Relationship Type="http://schemas.openxmlformats.org/officeDocument/2006/relationships/hyperlink" Target="https://meteor.aihw.gov.au/RegistrationAuthority/12" TargetMode="External" Id="Ra80ec3e9eb9644a6" /><Relationship Type="http://schemas.openxmlformats.org/officeDocument/2006/relationships/hyperlink" Target="https://meteor.aihw.gov.au/content/750440" TargetMode="External" Id="Ra827a5b93da942ab" /><Relationship Type="http://schemas.openxmlformats.org/officeDocument/2006/relationships/hyperlink" Target="https://meteor.aihw.gov.au/content/327250" TargetMode="External" Id="R7b6e349364224086" /><Relationship Type="http://schemas.openxmlformats.org/officeDocument/2006/relationships/hyperlink" Target="https://meteor.aihw.gov.au/content/733271" TargetMode="External" Id="R2ccf148d31e34678" /><Relationship Type="http://schemas.openxmlformats.org/officeDocument/2006/relationships/hyperlink" Target="https://meteor.aihw.gov.au/content/733187" TargetMode="External" Id="Rd14b26db3c444160" /><Relationship Type="http://schemas.openxmlformats.org/officeDocument/2006/relationships/hyperlink" Target="https://meteor.aihw.gov.au/content/327250" TargetMode="External" Id="R73622e84fa5b425f" /><Relationship Type="http://schemas.openxmlformats.org/officeDocument/2006/relationships/hyperlink" Target="https://meteor.aihw.gov.au/content/327284" TargetMode="External" Id="R7d27d5ffcb7d4cc3" /><Relationship Type="http://schemas.openxmlformats.org/officeDocument/2006/relationships/hyperlink" Target="https://meteor.aihw.gov.au/content/750440" TargetMode="External" Id="R31eb752dbe2c40da" /><Relationship Type="http://schemas.openxmlformats.org/officeDocument/2006/relationships/hyperlink" Target="https://meteor.aihw.gov.au/content/327314" TargetMode="External" Id="Re0e4a8e49afc4d06" /><Relationship Type="http://schemas.openxmlformats.org/officeDocument/2006/relationships/hyperlink" Target="https://meteor.aihw.gov.au/content/733271" TargetMode="External" Id="Ra52aed80fc51496c" /><Relationship Type="http://schemas.openxmlformats.org/officeDocument/2006/relationships/hyperlink" Target="https://meteor.aihw.gov.au/content/745843" TargetMode="External" Id="R3f52480e6cf04a10" /><Relationship Type="http://schemas.openxmlformats.org/officeDocument/2006/relationships/hyperlink" Target="https://meteor.aihw.gov.au/content/756109" TargetMode="External" Id="Rfe352d3cde7b4459" /><Relationship Type="http://schemas.openxmlformats.org/officeDocument/2006/relationships/hyperlink" Target="https://meteor.aihw.gov.au/RegistrationAuthority/12" TargetMode="External" Id="Rd56fd46ce0214c2f" /><Relationship Type="http://schemas.openxmlformats.org/officeDocument/2006/relationships/hyperlink" Target="https://meteor.aihw.gov.au/content/775716" TargetMode="External" Id="R3fb09820682c4847" /><Relationship Type="http://schemas.openxmlformats.org/officeDocument/2006/relationships/hyperlink" Target="https://meteor.aihw.gov.au/RegistrationAuthority/12" TargetMode="External" Id="Racac728e9ddb4fb0" /><Relationship Type="http://schemas.openxmlformats.org/officeDocument/2006/relationships/hyperlink" Target="https://meteor.aihw.gov.au/content/775714" TargetMode="External" Id="Rd00e24d5cf7a43f7" /><Relationship Type="http://schemas.openxmlformats.org/officeDocument/2006/relationships/hyperlink" Target="https://meteor.aihw.gov.au/RegistrationAuthority/12" TargetMode="External" Id="R0deeb340bb754467" /><Relationship Type="http://schemas.openxmlformats.org/officeDocument/2006/relationships/hyperlink" Target="https://meteor.aihw.gov.au/content/787655" TargetMode="External" Id="R7aee29bd9d504904" /><Relationship Type="http://schemas.openxmlformats.org/officeDocument/2006/relationships/hyperlink" Target="https://meteor.aihw.gov.au/content/759931" TargetMode="External" Id="R15c0a773345f4c47" /><Relationship Type="http://schemas.openxmlformats.org/officeDocument/2006/relationships/hyperlink" Target="https://meteor.aihw.gov.au/content/287007" TargetMode="External" Id="R023793edb4054921" /><Relationship Type="http://schemas.openxmlformats.org/officeDocument/2006/relationships/hyperlink" Target="https://meteor.aihw.gov.au/content/646025" TargetMode="External" Id="R51ba6798d6b94e4f" /><Relationship Type="http://schemas.openxmlformats.org/officeDocument/2006/relationships/hyperlink" Target="https://meteor.aihw.gov.au/content/290046" TargetMode="External" Id="Rc041f7f85b4f4025" /><Relationship Type="http://schemas.openxmlformats.org/officeDocument/2006/relationships/hyperlink" Target="https://meteor.aihw.gov.au/content/716826" TargetMode="External" Id="Rca3f0b9285b548a8" /><Relationship Type="http://schemas.openxmlformats.org/officeDocument/2006/relationships/hyperlink" Target="https://meteor.aihw.gov.au/content/716377" TargetMode="External" Id="Rdf9ae5670ca84605" /><Relationship Type="http://schemas.openxmlformats.org/officeDocument/2006/relationships/hyperlink" Target="https://meteor.aihw.gov.au/content/756758" TargetMode="External" Id="R4b152aede5e24555" /><Relationship Type="http://schemas.openxmlformats.org/officeDocument/2006/relationships/hyperlink" Target="https://meteor.aihw.gov.au/content/716603" TargetMode="External" Id="Rdb6c43b3ffda4c9d" /><Relationship Type="http://schemas.openxmlformats.org/officeDocument/2006/relationships/hyperlink" Target="https://meteor.aihw.gov.au/content/716377" TargetMode="External" Id="R5541ba413b674488" /><Relationship Type="http://schemas.openxmlformats.org/officeDocument/2006/relationships/hyperlink" Target="https://meteor.aihw.gov.au/content/769291" TargetMode="External" Id="R78584e66b16246ca" /><Relationship Type="http://schemas.openxmlformats.org/officeDocument/2006/relationships/hyperlink" Target="https://meteor.aihw.gov.au/content/733265" TargetMode="External" Id="R73b43a1b323e48b0" /><Relationship Type="http://schemas.openxmlformats.org/officeDocument/2006/relationships/hyperlink" Target="https://meteor.aihw.gov.au/content/756719" TargetMode="External" Id="Rf039ff7a59e84eff" /><Relationship Type="http://schemas.openxmlformats.org/officeDocument/2006/relationships/hyperlink" Target="https://meteor.aihw.gov.au/content/716377" TargetMode="External" Id="R598fd2d9c3954d54" /><Relationship Type="http://schemas.openxmlformats.org/officeDocument/2006/relationships/hyperlink" Target="https://meteor.aihw.gov.au/content/716435" TargetMode="External" Id="Rb03cc4a99aa14418" /><Relationship Type="http://schemas.openxmlformats.org/officeDocument/2006/relationships/hyperlink" Target="https://meteor.aihw.gov.au/content/716377" TargetMode="External" Id="R0fc8d91ac2d345ad" /><Relationship Type="http://schemas.openxmlformats.org/officeDocument/2006/relationships/hyperlink" Target="https://meteor.aihw.gov.au/content/716433" TargetMode="External" Id="Rb400625820814cb0" /><Relationship Type="http://schemas.openxmlformats.org/officeDocument/2006/relationships/hyperlink" Target="https://meteor.aihw.gov.au/content/716568" TargetMode="External" Id="R8e1d6894dc0f4e52" /><Relationship Type="http://schemas.openxmlformats.org/officeDocument/2006/relationships/hyperlink" Target="https://meteor.aihw.gov.au/content/716363" TargetMode="External" Id="R4aecff7af6514aa4" /><Relationship Type="http://schemas.openxmlformats.org/officeDocument/2006/relationships/hyperlink" Target="https://meteor.aihw.gov.au/content/716377" TargetMode="External" Id="Rd54bec7fce834abc" /><Relationship Type="http://schemas.openxmlformats.org/officeDocument/2006/relationships/hyperlink" Target="https://meteor.aihw.gov.au/content/716412" TargetMode="External" Id="R13c8d2ca05fa44d6" /></Relationships>
</file>

<file path=word/_rels/header1.xml.rels>&#65279;<?xml version="1.0" encoding="utf-8"?><Relationships xmlns="http://schemas.openxmlformats.org/package/2006/relationships"><Relationship Type="http://schemas.openxmlformats.org/officeDocument/2006/relationships/image" Target="/media/image.png" Id="R43a0288971444e4d" /></Relationships>
</file>