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b90b337f848ab" /></Relationships>
</file>

<file path=word/document.xml><?xml version="1.0" encoding="utf-8"?>
<w:document xmlns:r="http://schemas.openxmlformats.org/officeDocument/2006/relationships" xmlns:w="http://schemas.openxmlformats.org/wordprocessingml/2006/main">
  <w:body>
    <w:p>
      <w:pPr>
        <w:pStyle w:val="Title"/>
      </w:pPr>
      <w:r>
        <w:t>Aged care assessment—cessation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assessment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assessment reason for 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5863cab424ea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aged care assessment,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091bcfce2a4218">
              <w:r>
                <w:rPr>
                  <w:rStyle w:val="Hyperlink"/>
                </w:rPr>
                <w:t xml:space="preserve">Aged care assessment—cessation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7ef8c72f264f04">
              <w:r>
                <w:rPr>
                  <w:rStyle w:val="Hyperlink"/>
                </w:rPr>
                <w:t xml:space="preserve">Aged care assessment cessation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 – care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Completed – no care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Cancelled – person’s cultural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 lost contact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Cancelled – consent/application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Cancelled – person medically/functionally unstable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Cancelled – prior aged care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 – care recommended</w:t>
            </w:r>
          </w:p>
          <w:p>
            <w:pPr>
              <w:spacing w:after="160"/>
            </w:pPr>
            <w:r>
              <w:rPr>
                <w:rStyle w:val="row-content-rich-text"/>
              </w:rPr>
              <w:t xml:space="preserve">This code applies where the aged care assessment was completed and care was recommended for the person.</w:t>
            </w:r>
          </w:p>
          <w:p>
            <w:pPr>
              <w:spacing w:after="160"/>
            </w:pPr>
            <w:r>
              <w:rPr>
                <w:rStyle w:val="row-content-rich-text"/>
              </w:rPr>
              <w:t xml:space="preserve">CODE 2     Completed – no care recommended</w:t>
            </w:r>
          </w:p>
          <w:p>
            <w:pPr>
              <w:spacing w:after="160"/>
            </w:pPr>
            <w:r>
              <w:rPr>
                <w:rStyle w:val="row-content-rich-text"/>
              </w:rPr>
              <w:t xml:space="preserve">This code applies where the aged care assessment was completed and care was not recommended for the person.</w:t>
            </w:r>
          </w:p>
          <w:p>
            <w:pPr>
              <w:spacing w:after="160"/>
            </w:pPr>
            <w:r>
              <w:rPr>
                <w:rStyle w:val="row-content-rich-text"/>
              </w:rPr>
              <w:t xml:space="preserve">CODE 3     Cancelled – person's cultural considerations</w:t>
            </w:r>
          </w:p>
          <w:p>
            <w:pPr>
              <w:spacing w:after="160"/>
            </w:pPr>
            <w:r>
              <w:rPr>
                <w:rStyle w:val="row-content-rich-text"/>
              </w:rPr>
              <w:t xml:space="preserve">This code applies where a person's cultural beliefs or values (about the aged care assessment or service) affected the finalisation of the assessment.</w:t>
            </w:r>
          </w:p>
          <w:p>
            <w:pPr>
              <w:spacing w:after="160"/>
            </w:pPr>
            <w:r>
              <w:rPr>
                <w:rStyle w:val="row-content-rich-text"/>
              </w:rPr>
              <w:t xml:space="preserve">CODE 4     Cancelled – lost contact with person</w:t>
            </w:r>
          </w:p>
          <w:p>
            <w:pPr>
              <w:spacing w:after="160"/>
            </w:pPr>
            <w:r>
              <w:rPr>
                <w:rStyle w:val="row-content-rich-text"/>
              </w:rPr>
              <w:t xml:space="preserve">This code applies where the aged care assessment staff were unable to contact the person for 3 months.</w:t>
            </w:r>
          </w:p>
          <w:p>
            <w:pPr>
              <w:spacing w:after="160"/>
            </w:pPr>
            <w:r>
              <w:rPr>
                <w:rStyle w:val="row-content-rich-text"/>
              </w:rPr>
              <w:t xml:space="preserve">CODE 5     Cancelled – consent/application withdrawn</w:t>
            </w:r>
          </w:p>
          <w:p>
            <w:pPr>
              <w:spacing w:after="160"/>
            </w:pPr>
            <w:r>
              <w:rPr>
                <w:rStyle w:val="row-content-rich-text"/>
              </w:rPr>
              <w:t xml:space="preserve">This code applies where a person withdrew consent for the aged care assessment process to continue.</w:t>
            </w:r>
          </w:p>
          <w:p>
            <w:pPr>
              <w:spacing w:after="160"/>
            </w:pPr>
            <w:r>
              <w:rPr>
                <w:rStyle w:val="row-content-rich-text"/>
              </w:rPr>
              <w:t xml:space="preserve">CODE 6     Cancelled – person medically/functionally unstable</w:t>
            </w:r>
          </w:p>
          <w:p>
            <w:pPr>
              <w:spacing w:after="160"/>
            </w:pPr>
            <w:r>
              <w:rPr>
                <w:rStyle w:val="row-content-rich-text"/>
              </w:rPr>
              <w:t xml:space="preserve">This code applies where a person's medical conditions were unstable to the extent the aged care assessment could not proceed or their functional abilities were unstable to the extent the assessment could not proceed.</w:t>
            </w:r>
          </w:p>
          <w:p>
            <w:pPr>
              <w:spacing w:after="160"/>
            </w:pPr>
            <w:r>
              <w:rPr>
                <w:rStyle w:val="row-content-rich-text"/>
              </w:rPr>
              <w:t xml:space="preserve">CODE 7     Cancelled – prior aged care approval</w:t>
            </w:r>
          </w:p>
          <w:p>
            <w:pPr>
              <w:spacing w:after="160"/>
            </w:pPr>
            <w:r>
              <w:rPr>
                <w:rStyle w:val="row-content-rich-text"/>
              </w:rPr>
              <w:t xml:space="preserve">This code applies where a person had prior aged care approval (through an earlier assessment) and there was no reason to complete the aged care assessment.</w:t>
            </w:r>
          </w:p>
          <w:p>
            <w:pPr>
              <w:spacing w:after="160"/>
            </w:pPr>
            <w:r>
              <w:rPr>
                <w:rStyle w:val="row-content-rich-text"/>
              </w:rPr>
              <w:t xml:space="preserve">CODE 97     Not applicable</w:t>
            </w:r>
          </w:p>
          <w:p>
            <w:pPr>
              <w:spacing w:after="160"/>
            </w:pPr>
            <w:r>
              <w:rPr>
                <w:rStyle w:val="row-content-rich-text"/>
              </w:rPr>
              <w:t xml:space="preserve">This code applies where there was no end to an aged care assessment, or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reason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reason is not stated or inadequately described. It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assessment is generated from information provided by the source of information (e.g., the person being assessed, their carer or medical practitioner) and by the assessor.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2c0de2778be4f91">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w:t>
            </w:r>
          </w:p>
          <w:p>
            <w:pPr/>
            <w:r>
              <w:rPr>
                <w:rStyle w:val="row-content-rich-text"/>
              </w:rPr>
              <w:t xml:space="preserve">Australian Institute of Health and Welfare (2002) </w:t>
            </w:r>
            <w:hyperlink w:history="true" r:id="R9f54cb6760c3481d">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e85ce89dda4b27">
              <w:r>
                <w:rPr>
                  <w:rStyle w:val="Hyperlink"/>
                </w:rPr>
                <w:t xml:space="preserve">Aged care assessment cluster</w:t>
              </w:r>
            </w:hyperlink>
          </w:p>
          <w:p>
            <w:pPr>
              <w:pStyle w:val="registration-status"/>
              <w:spacing w:before="0" w:after="0"/>
            </w:pPr>
            <w:hyperlink w:history="true" r:id="R8df5d803055e44c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13db51aa597a4845">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22277e004c0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775228</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abfc7e853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277e004c04d3c" /><Relationship Type="http://schemas.openxmlformats.org/officeDocument/2006/relationships/header" Target="/word/header1.xml" Id="Rfded3164cc464443" /><Relationship Type="http://schemas.openxmlformats.org/officeDocument/2006/relationships/settings" Target="/word/settings.xml" Id="Rc91b23434a514296" /><Relationship Type="http://schemas.openxmlformats.org/officeDocument/2006/relationships/styles" Target="/word/styles.xml" Id="R2536c60ce818481d" /><Relationship Type="http://schemas.openxmlformats.org/officeDocument/2006/relationships/hyperlink" Target="https://meteor.aihw.gov.au/RegistrationAuthority/19" TargetMode="External" Id="R1f05863cab424eae" /><Relationship Type="http://schemas.openxmlformats.org/officeDocument/2006/relationships/hyperlink" Target="https://meteor.aihw.gov.au/content/774841" TargetMode="External" Id="R5e091bcfce2a4218" /><Relationship Type="http://schemas.openxmlformats.org/officeDocument/2006/relationships/hyperlink" Target="https://meteor.aihw.gov.au/content/775190" TargetMode="External" Id="R727ef8c72f264f04" /><Relationship Type="http://schemas.openxmlformats.org/officeDocument/2006/relationships/hyperlink" Target="https://www.health.gov.au/resources/publications/my-aged-care-national-screening-and-assessment-form-user-guide?language=en" TargetMode="External" Id="Rd2c0de2778be4f91" /><Relationship Type="http://schemas.openxmlformats.org/officeDocument/2006/relationships/hyperlink" Target="https://www.aihw.gov.au/reports/aged-care/aged-care-assessment-program-data-dictionary-versi" TargetMode="External" Id="R9f54cb6760c3481d" /><Relationship Type="http://schemas.openxmlformats.org/officeDocument/2006/relationships/hyperlink" Target="https://meteor.aihw.gov.au/content/777819" TargetMode="External" Id="Ra7e85ce89dda4b27" /><Relationship Type="http://schemas.openxmlformats.org/officeDocument/2006/relationships/hyperlink" Target="https://meteor.aihw.gov.au/RegistrationAuthority/19" TargetMode="External" Id="R8df5d803055e44cd" /><Relationship Type="http://schemas.openxmlformats.org/officeDocument/2006/relationships/hyperlink" Target="https://meteor.aihw.gov.au/content/775224" TargetMode="External" Id="R13db51aa597a4845" /></Relationships>
</file>

<file path=word/_rels/header1.xml.rels>&#65279;<?xml version="1.0" encoding="utf-8"?><Relationships xmlns="http://schemas.openxmlformats.org/package/2006/relationships"><Relationship Type="http://schemas.openxmlformats.org/officeDocument/2006/relationships/image" Target="/media/image.png" Id="R5c0abfc7e8534e64" /></Relationships>
</file>