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3655cbc3cc4ddc" /></Relationships>
</file>

<file path=word/document.xml><?xml version="1.0" encoding="utf-8"?>
<w:document xmlns:r="http://schemas.openxmlformats.org/officeDocument/2006/relationships" xmlns:w="http://schemas.openxmlformats.org/wordprocessingml/2006/main">
  <w:body>
    <w:p>
      <w:pPr>
        <w:pStyle w:val="Title"/>
      </w:pPr>
      <w:r>
        <w:t>Aged care assessment—palliative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33df5cddd4d79">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phase of palliative care recorded at the commencement of the aged care episode or during an aged care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1bc7620af84c3d">
              <w:r>
                <w:rPr>
                  <w:rStyle w:val="Hyperlink"/>
                </w:rPr>
                <w:t xml:space="preserve">Aged care assessment—palliative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59d94b268c47d6">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palliative care phase or it is not required in relation to the aged care episode. </w:t>
            </w:r>
          </w:p>
          <w:p>
            <w:pPr>
              <w:spacing w:after="160"/>
            </w:pPr>
            <w:r>
              <w:rPr>
                <w:rStyle w:val="row-content-rich-text"/>
              </w:rPr>
              <w:t xml:space="preserve">CODE 98   Unknown/unable to be determined</w:t>
            </w:r>
          </w:p>
          <w:p>
            <w:pPr>
              <w:spacing w:after="160"/>
            </w:pPr>
            <w:r>
              <w:rPr>
                <w:rStyle w:val="row-content-rich-text"/>
              </w:rPr>
              <w:t xml:space="preserve">This code applies when the phase of the illness has not been reported</w:t>
            </w:r>
          </w:p>
          <w:p>
            <w:pPr>
              <w:spacing w:after="160"/>
            </w:pPr>
            <w:r>
              <w:rPr>
                <w:rStyle w:val="row-content-rich-text"/>
              </w:rPr>
              <w:t xml:space="preserve">Palliative care phases are not sequential and a patient may move back and forth between phases.</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palliative care is to be recorded for each residential aged care episode a person receives. </w:t>
            </w:r>
          </w:p>
          <w:p>
            <w:pPr>
              <w:spacing w:after="160"/>
            </w:pPr>
            <w:r>
              <w:rPr>
                <w:rStyle w:val="row-content-rich-text"/>
              </w:rPr>
              <w:t xml:space="preserve">Palliative care phases are not necessarily sequential and a patient may transit back and forth between phases. Palliative care phases provide a clinical indication of the type of care required and have been shown to correlate strongly with survival within longitudinal prospective studies.</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2e0b6b413d14ca0">
              <w:r>
                <w:rPr>
                  <w:rStyle w:val="Hyperlink"/>
                </w:rPr>
                <w:t xml:space="preserve">AN-ACC resources | Australian Government Department of Health and Aged Care</w:t>
              </w:r>
            </w:hyperlink>
            <w:r>
              <w:rPr>
                <w:rStyle w:val="row-content-rich-text"/>
              </w:rPr>
              <w:t xml:space="preserve">. Viewed 9 January 2023, https://www.health.gov.au/resources/collections/an-acc-resources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48ee96951c4228">
              <w:r>
                <w:rPr>
                  <w:rStyle w:val="Hyperlink"/>
                </w:rPr>
                <w:t xml:space="preserve">Aged care assessment cluster</w:t>
              </w:r>
            </w:hyperlink>
          </w:p>
          <w:p>
            <w:pPr>
              <w:pStyle w:val="registration-status"/>
              <w:spacing w:before="0" w:after="0"/>
            </w:pPr>
            <w:hyperlink w:history="true" r:id="Rf5d308e5af634e96">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 4 being selected for </w:t>
            </w:r>
            <w:hyperlink w:history="true" r:id="Rca0eb823d05b45da">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69570a23aa2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ff9e89b8c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570a23aa24f74" /><Relationship Type="http://schemas.openxmlformats.org/officeDocument/2006/relationships/header" Target="/word/header1.xml" Id="R1c99991af4fa4e3f" /><Relationship Type="http://schemas.openxmlformats.org/officeDocument/2006/relationships/settings" Target="/word/settings.xml" Id="R42622d7f8c654bf0" /><Relationship Type="http://schemas.openxmlformats.org/officeDocument/2006/relationships/styles" Target="/word/styles.xml" Id="Ree5c1c85a5c6467d" /><Relationship Type="http://schemas.openxmlformats.org/officeDocument/2006/relationships/numbering" Target="/word/numbering.xml" Id="R2dfe6e58b9d04f2c" /><Relationship Type="http://schemas.openxmlformats.org/officeDocument/2006/relationships/hyperlink" Target="https://meteor.aihw.gov.au/RegistrationAuthority/19" TargetMode="External" Id="R6fa33df5cddd4d79" /><Relationship Type="http://schemas.openxmlformats.org/officeDocument/2006/relationships/hyperlink" Target="https://meteor.aihw.gov.au/content/774832" TargetMode="External" Id="Re71bc7620af84c3d" /><Relationship Type="http://schemas.openxmlformats.org/officeDocument/2006/relationships/hyperlink" Target="https://meteor.aihw.gov.au/content/681032" TargetMode="External" Id="Rba59d94b268c47d6" /><Relationship Type="http://schemas.openxmlformats.org/officeDocument/2006/relationships/hyperlink" Target="https://www.health.gov.au/resources/collections/an-acc-resources" TargetMode="External" Id="R62e0b6b413d14ca0" /><Relationship Type="http://schemas.openxmlformats.org/officeDocument/2006/relationships/hyperlink" Target="https://meteor.aihw.gov.au/content/777819" TargetMode="External" Id="R9048ee96951c4228" /><Relationship Type="http://schemas.openxmlformats.org/officeDocument/2006/relationships/hyperlink" Target="https://meteor.aihw.gov.au/RegistrationAuthority/19" TargetMode="External" Id="Rf5d308e5af634e96" /><Relationship Type="http://schemas.openxmlformats.org/officeDocument/2006/relationships/hyperlink" Target="https://meteor.aihw.gov.au/content/775224" TargetMode="External" Id="Rca0eb823d05b45da" /></Relationships>
</file>

<file path=word/_rels/header1.xml.rels>&#65279;<?xml version="1.0" encoding="utf-8"?><Relationships xmlns="http://schemas.openxmlformats.org/package/2006/relationships"><Relationship Type="http://schemas.openxmlformats.org/officeDocument/2006/relationships/image" Target="/media/image.png" Id="Rc9bff9e89b8c416b" /></Relationships>
</file>