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00b5bbbe74650" /></Relationships>
</file>

<file path=word/document.xml><?xml version="1.0" encoding="utf-8"?>
<w:document xmlns:r="http://schemas.openxmlformats.org/officeDocument/2006/relationships" xmlns:w="http://schemas.openxmlformats.org/wordprocessingml/2006/main">
  <w:body>
    <w:p>
      <w:pPr>
        <w:pStyle w:val="Title"/>
      </w:pPr>
      <w:r>
        <w:t>Aged care assessment—reason for assessment,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assessment—reason for assessment,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aged care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Aged care assessment trigger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cb4ad9fa04f3e">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an aged care assessment was undertaken,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62688f2a84e09">
              <w:r>
                <w:rPr>
                  <w:rStyle w:val="Hyperlink"/>
                </w:rPr>
                <w:t xml:space="preserve">Aged care assessment—reason for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f34068230747b5">
              <w:r>
                <w:rPr>
                  <w:rStyle w:val="Hyperlink"/>
                </w:rPr>
                <w:t xml:space="preserve">Reason for aged care assessment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admission or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Change in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Change in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Concerns about increasing frailty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Change in cognitive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Change in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Change in caring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Change in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Risk of vulnerability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admission or discharge</w:t>
            </w:r>
          </w:p>
          <w:p>
            <w:pPr>
              <w:spacing w:after="160"/>
            </w:pPr>
            <w:r>
              <w:rPr>
                <w:rStyle w:val="row-content-rich-text"/>
              </w:rPr>
              <w:t xml:space="preserve">This code applies where a recent hospitalisation (within three months) results in the initiation of an aged care assessment. This relates to an inpatient stays or emergency department presentations, not an outpatient visit at e.g., a hospital clinic.</w:t>
            </w:r>
          </w:p>
          <w:p>
            <w:pPr>
              <w:spacing w:after="160"/>
            </w:pPr>
            <w:r>
              <w:rPr>
                <w:rStyle w:val="row-content-rich-text"/>
              </w:rPr>
              <w:t xml:space="preserve">CODE 2     Change in medical conditions</w:t>
            </w:r>
          </w:p>
          <w:p>
            <w:pPr>
              <w:spacing w:after="160"/>
            </w:pPr>
            <w:r>
              <w:rPr>
                <w:rStyle w:val="row-content-rich-text"/>
              </w:rPr>
              <w:t xml:space="preserve">This code applies where a change in the person's medical conditions (including mental health and disability) has led to the initiation of an aged care assessment. The medical conditions impact on the persons need for assistance with activities and can include e.g., changes in pain levels or ability to self-manage the condition(s).</w:t>
            </w:r>
          </w:p>
          <w:p>
            <w:pPr>
              <w:spacing w:after="160"/>
            </w:pPr>
            <w:r>
              <w:rPr>
                <w:rStyle w:val="row-content-rich-text"/>
              </w:rPr>
              <w:t xml:space="preserve">CODE 3     Change in care needs</w:t>
            </w:r>
          </w:p>
          <w:p>
            <w:pPr>
              <w:spacing w:after="160"/>
            </w:pPr>
            <w:r>
              <w:rPr>
                <w:rStyle w:val="row-content-rich-text"/>
              </w:rPr>
              <w:t xml:space="preserve">This code applies where there is a change in care needs, such as the need for more assistance to complete everyday tasks, that trigger the need for an assessment. Use code 2 if the change in care needs is specific to a particular medical condition.</w:t>
            </w:r>
          </w:p>
          <w:p>
            <w:pPr>
              <w:spacing w:after="160"/>
            </w:pPr>
            <w:r>
              <w:rPr>
                <w:rStyle w:val="row-content-rich-text"/>
              </w:rPr>
              <w:t xml:space="preserve">CODE 4     Concerns about increasing frailty</w:t>
            </w:r>
          </w:p>
          <w:p>
            <w:pPr>
              <w:spacing w:after="160"/>
            </w:pPr>
            <w:r>
              <w:rPr>
                <w:rStyle w:val="row-content-rich-text"/>
              </w:rPr>
              <w:t xml:space="preserve">This code applies if the trigger for assessment relates to concerns about overall worsening health and mobility. Use code 2 if the concerns are specific to a particular medical condition and code 4 if the increasing frailty involves falls.</w:t>
            </w:r>
          </w:p>
          <w:p>
            <w:pPr>
              <w:spacing w:after="160"/>
            </w:pPr>
            <w:r>
              <w:rPr>
                <w:rStyle w:val="row-content-rich-text"/>
              </w:rPr>
              <w:t xml:space="preserve">CODE 5     Fall(s)</w:t>
            </w:r>
          </w:p>
          <w:p>
            <w:pPr>
              <w:spacing w:after="160"/>
            </w:pPr>
            <w:r>
              <w:rPr>
                <w:rStyle w:val="row-content-rich-text"/>
              </w:rPr>
              <w:t xml:space="preserve">This code applies to falls, including slips and trips that lead to the initiation of an assessment.</w:t>
            </w:r>
          </w:p>
          <w:p>
            <w:pPr>
              <w:spacing w:after="160"/>
            </w:pPr>
            <w:r>
              <w:rPr>
                <w:rStyle w:val="row-content-rich-text"/>
              </w:rPr>
              <w:t xml:space="preserve">CODE 6     Change in cognitive status</w:t>
            </w:r>
          </w:p>
          <w:p>
            <w:pPr>
              <w:spacing w:after="160"/>
            </w:pPr>
            <w:r>
              <w:rPr>
                <w:rStyle w:val="row-content-rich-text"/>
              </w:rPr>
              <w:t xml:space="preserve">This code applies where the assessment is triggered by a change in a person's memory and/or cognition. Changes may include declining memory, forgetfulness and confusion, poor judgement and decision-making, and other cognitive changes that impact on every day activities.</w:t>
            </w:r>
          </w:p>
          <w:p>
            <w:pPr>
              <w:spacing w:after="160"/>
            </w:pPr>
            <w:r>
              <w:rPr>
                <w:rStyle w:val="row-content-rich-text"/>
              </w:rPr>
              <w:t xml:space="preserve">CODE 7     Change in mental health status</w:t>
            </w:r>
          </w:p>
          <w:p>
            <w:pPr>
              <w:spacing w:after="160"/>
            </w:pPr>
            <w:r>
              <w:rPr>
                <w:rStyle w:val="row-content-rich-text"/>
              </w:rPr>
              <w:t xml:space="preserve">This code applies where the assessment is triggered by a change in a person's mental health. Changes may include increased symptoms of depression, anxiety, withdrawal or lack of enjoyment that impact on every day activities.</w:t>
            </w:r>
          </w:p>
          <w:p>
            <w:pPr>
              <w:spacing w:after="160"/>
            </w:pPr>
            <w:r>
              <w:rPr>
                <w:rStyle w:val="row-content-rich-text"/>
              </w:rPr>
              <w:t xml:space="preserve">CODE 8     Change in caring arrangement</w:t>
            </w:r>
          </w:p>
          <w:p>
            <w:pPr>
              <w:spacing w:after="160"/>
            </w:pPr>
            <w:r>
              <w:rPr>
                <w:rStyle w:val="row-content-rich-text"/>
              </w:rPr>
              <w:t xml:space="preserve">This code applies where the assessment is triggered by a change in caring arrangements. This includes changes where a co-resident, non-resident carer or informal support network are no longer able to provide care for the person, e.g., due to the carer's death, hospitalisation or moving away.</w:t>
            </w:r>
          </w:p>
          <w:p>
            <w:pPr>
              <w:spacing w:after="160"/>
            </w:pPr>
            <w:r>
              <w:rPr>
                <w:rStyle w:val="row-content-rich-text"/>
              </w:rPr>
              <w:t xml:space="preserve">CODE 9     Change in living arrangement</w:t>
            </w:r>
          </w:p>
          <w:p>
            <w:pPr>
              <w:spacing w:after="160"/>
            </w:pPr>
            <w:r>
              <w:rPr>
                <w:rStyle w:val="row-content-rich-text"/>
              </w:rPr>
              <w:t xml:space="preserve">This code applies where the assessment is triggered by a change in a person's accommodation or housing situation. This includes changes where the person needs to relocate to alternative or new accommodation e.g., due to cost, availability or suitability of housing. Where an assessment is needed because of a change in the carer's living arrangements or loss of a carer, use code 8.</w:t>
            </w:r>
          </w:p>
          <w:p>
            <w:pPr>
              <w:spacing w:after="160"/>
            </w:pPr>
            <w:r>
              <w:rPr>
                <w:rStyle w:val="row-content-rich-text"/>
              </w:rPr>
              <w:t xml:space="preserve">CODE 10     Risk of vulnerability</w:t>
            </w:r>
          </w:p>
          <w:p>
            <w:pPr>
              <w:spacing w:after="160"/>
            </w:pPr>
            <w:r>
              <w:rPr>
                <w:rStyle w:val="row-content-rich-text"/>
              </w:rPr>
              <w:t xml:space="preserve">This code applies where a person has a level of vulnerability that triggers the need for an assessment. It may relate to the person being identified as belonging to an at-risk group. Should a person choose not to disclose information about their situation or lifestyle, this choice should be respected.</w:t>
            </w:r>
          </w:p>
          <w:p>
            <w:pPr>
              <w:spacing w:after="160"/>
            </w:pPr>
            <w:r>
              <w:rPr>
                <w:rStyle w:val="row-content-rich-text"/>
              </w:rPr>
              <w:t xml:space="preserve">CODE 20     Other</w:t>
            </w:r>
          </w:p>
          <w:p>
            <w:pPr>
              <w:spacing w:after="160"/>
            </w:pPr>
            <w:r>
              <w:rPr>
                <w:rStyle w:val="row-content-rich-text"/>
              </w:rPr>
              <w:t xml:space="preserve">This code applies for any triggers which are not categorised or defined in the above and warranted an assessment.</w:t>
            </w:r>
          </w:p>
          <w:p>
            <w:pPr>
              <w:spacing w:after="160"/>
            </w:pPr>
            <w:r>
              <w:rPr>
                <w:rStyle w:val="row-content-rich-text"/>
              </w:rPr>
              <w:t xml:space="preserve">CODE 97     Not applicable</w:t>
            </w:r>
          </w:p>
          <w:p>
            <w:pPr>
              <w:spacing w:after="160"/>
            </w:pPr>
            <w:r>
              <w:rPr>
                <w:rStyle w:val="row-content-rich-text"/>
              </w:rPr>
              <w:t xml:space="preserve">This code is used where the assessment reason is not required.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the reason for the assessment.</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"trigger" for an aged care assessment relates to the reason a person has been referred for an aged care assessment. It is used to identify whether the assessment is needed because of an event or change in the persons living and needs arrangements. These changes can determine whether an aged care service is suitable and which type of care is needed.</w:t>
            </w:r>
          </w:p>
          <w:p>
            <w:pPr>
              <w:spacing w:after="160"/>
            </w:pPr>
            <w:r>
              <w:rPr>
                <w:rStyle w:val="row-content-rich-text"/>
              </w:rPr>
              <w:t xml:space="preserve">This data element collects information on the situation or trigger that has led the person to contact My Aged Care. The question is based on the information available, the assessor's judgement based on their conversation with the person, information on the inbound referral and/or information provided by another source such as a representative, carer or friend.</w:t>
            </w:r>
          </w:p>
          <w:p>
            <w:pPr>
              <w:spacing w:after="160"/>
            </w:pPr>
            <w:r>
              <w:rPr>
                <w:rStyle w:val="row-content-rich-text"/>
              </w:rPr>
              <w:t xml:space="preserve">This element applies to home support and comprehensive assessments.</w:t>
            </w:r>
          </w:p>
          <w:p>
            <w:pPr/>
            <w:r>
              <w:rPr>
                <w:rStyle w:val="row-content-rich-text"/>
              </w:rPr>
              <w:t xml:space="preserve">One or more codes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fda3cef44cf46a6">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a0bce111254470">
              <w:r>
                <w:rPr>
                  <w:rStyle w:val="Hyperlink"/>
                </w:rPr>
                <w:t xml:space="preserve">Aged care assessment cluster</w:t>
              </w:r>
            </w:hyperlink>
          </w:p>
          <w:p>
            <w:pPr>
              <w:spacing w:before="0" w:after="0"/>
            </w:pPr>
            <w:r>
              <w:rPr>
                <w:rStyle w:val="row-content"/>
                <w:color w:val="244061"/>
              </w:rPr>
              <w:t xml:space="preserve">       </w:t>
            </w:r>
            <w:hyperlink w:history="true" r:id="Rfdb7673a67154ce5">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0076f101069d4c81">
              <w:r>
                <w:rPr>
                  <w:rStyle w:val="Hyperlink"/>
                </w:rPr>
                <w:t xml:space="preserve">Aged care assessment—assessment type,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a7de84fc556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a19ad37c4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de84fc556458c" /><Relationship Type="http://schemas.openxmlformats.org/officeDocument/2006/relationships/header" Target="/word/header1.xml" Id="Rd6a43431089c455c" /><Relationship Type="http://schemas.openxmlformats.org/officeDocument/2006/relationships/settings" Target="/word/settings.xml" Id="R7f1690b0dd4a4042" /><Relationship Type="http://schemas.openxmlformats.org/officeDocument/2006/relationships/styles" Target="/word/styles.xml" Id="R16103ff763e24539" /><Relationship Type="http://schemas.openxmlformats.org/officeDocument/2006/relationships/hyperlink" Target="https://meteor.aihw.gov.au/RegistrationAuthority/19" TargetMode="External" Id="R591cb4ad9fa04f3e" /><Relationship Type="http://schemas.openxmlformats.org/officeDocument/2006/relationships/hyperlink" Target="https://meteor.aihw.gov.au/content/774826" TargetMode="External" Id="Rf4262688f2a84e09" /><Relationship Type="http://schemas.openxmlformats.org/officeDocument/2006/relationships/hyperlink" Target="https://meteor.aihw.gov.au/content/775139" TargetMode="External" Id="Rabf34068230747b5" /><Relationship Type="http://schemas.openxmlformats.org/officeDocument/2006/relationships/hyperlink" Target="https://www.health.gov.au/resources/publications/my-aged-care-national-screening-and-assessment-form-user-guide?language=en" TargetMode="External" Id="R0fda3cef44cf46a6" /><Relationship Type="http://schemas.openxmlformats.org/officeDocument/2006/relationships/hyperlink" Target="https://meteor.aihw.gov.au/content/777819" TargetMode="External" Id="R1da0bce111254470" /><Relationship Type="http://schemas.openxmlformats.org/officeDocument/2006/relationships/hyperlink" Target="https://meteor.aihw.gov.au/RegistrationAuthority/19" TargetMode="External" Id="Rfdb7673a67154ce5" /><Relationship Type="http://schemas.openxmlformats.org/officeDocument/2006/relationships/hyperlink" Target="https://meteor.aihw.gov.au/content/775224" TargetMode="External" Id="R0076f101069d4c81" /></Relationships>
</file>

<file path=word/_rels/header1.xml.rels>&#65279;<?xml version="1.0" encoding="utf-8"?><Relationships xmlns="http://schemas.openxmlformats.org/package/2006/relationships"><Relationship Type="http://schemas.openxmlformats.org/officeDocument/2006/relationships/image" Target="/media/image.png" Id="R003a19ad37c44a7e" /></Relationships>
</file>