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81ff5d4421e4662" /></Relationships>
</file>

<file path=word/document.xml><?xml version="1.0" encoding="utf-8"?>
<w:document xmlns:r="http://schemas.openxmlformats.org/officeDocument/2006/relationships" xmlns:w="http://schemas.openxmlformats.org/wordprocessingml/2006/main">
  <w:body>
    <w:p>
      <w:pPr>
        <w:pStyle w:val="Title"/>
      </w:pPr>
      <w:r>
        <w:t>Recommended formal care code N[N]</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Recommended formal care code N[N]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Value Domain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775210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fdc26fb26e6147fa">
              <w:r>
                <w:rPr>
                  <w:rStyle w:val="Hyperlink"/>
                  <w:color w:val="244061"/>
                </w:rPr>
                <w:t xml:space="preserve">Aged Care</w:t>
              </w:r>
            </w:hyperlink>
            <w:r>
              <w:rPr>
                <w:rStyle w:val="row-content"/>
                <w:color w:val="244061"/>
              </w:rPr>
              <w:t xml:space="preserve">, Superseded 31/10/2025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 code set representing type of formal aged care program recommended. </w:t>
            </w:r>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Home Care Packages Programme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p>
        </w:tc>
        <w:tc>
          <w:tcPr>
            <w:tcBorders>
              <w:top w:val="none" w:color="000000" w:sz="0"/>
              <w:left w:val="none" w:color="000000" w:sz="0"/>
              <w:bottom w:val="none" w:color="000000" w:sz="0"/>
              <w:right w:val="none" w:color="000000" w:sz="0"/>
            </w:tcBorders>
            <w:vAlign w:val="top"/>
          </w:tcPr>
          <w:p>
            <w:r>
              <w:t xml:space="preserve">Residential aged care (permanent)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w:t>
            </w:r>
          </w:p>
        </w:tc>
        <w:tc>
          <w:tcPr>
            <w:tcBorders>
              <w:top w:val="none" w:color="000000" w:sz="0"/>
              <w:left w:val="none" w:color="000000" w:sz="0"/>
              <w:bottom w:val="none" w:color="000000" w:sz="0"/>
              <w:right w:val="none" w:color="000000" w:sz="0"/>
            </w:tcBorders>
            <w:vAlign w:val="top"/>
          </w:tcPr>
          <w:p>
            <w:r>
              <w:t xml:space="preserve">Residential aged care (respite)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4</w:t>
            </w:r>
          </w:p>
        </w:tc>
        <w:tc>
          <w:tcPr>
            <w:tcBorders>
              <w:top w:val="none" w:color="000000" w:sz="0"/>
              <w:left w:val="none" w:color="000000" w:sz="0"/>
              <w:bottom w:val="none" w:color="000000" w:sz="0"/>
              <w:right w:val="none" w:color="000000" w:sz="0"/>
            </w:tcBorders>
            <w:vAlign w:val="top"/>
          </w:tcPr>
          <w:p>
            <w:r>
              <w:t xml:space="preserve">Short-Term Restorative Care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5</w:t>
            </w:r>
          </w:p>
        </w:tc>
        <w:tc>
          <w:tcPr>
            <w:tcBorders>
              <w:top w:val="none" w:color="000000" w:sz="0"/>
              <w:left w:val="none" w:color="000000" w:sz="0"/>
              <w:bottom w:val="none" w:color="000000" w:sz="0"/>
              <w:right w:val="none" w:color="000000" w:sz="0"/>
            </w:tcBorders>
            <w:vAlign w:val="top"/>
          </w:tcPr>
          <w:p>
            <w:r>
              <w:t xml:space="preserve">Transition Care Program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6</w:t>
            </w:r>
          </w:p>
        </w:tc>
        <w:tc>
          <w:tcPr>
            <w:tcBorders>
              <w:top w:val="none" w:color="000000" w:sz="0"/>
              <w:left w:val="none" w:color="000000" w:sz="0"/>
              <w:bottom w:val="none" w:color="000000" w:sz="0"/>
              <w:right w:val="none" w:color="000000" w:sz="0"/>
            </w:tcBorders>
            <w:vAlign w:val="top"/>
          </w:tcPr>
          <w:p>
            <w:r>
              <w:t xml:space="preserve">Commonwealth Home Support Program</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7</w:t>
            </w:r>
          </w:p>
        </w:tc>
        <w:tc>
          <w:tcPr>
            <w:tcBorders>
              <w:top w:val="none" w:color="000000" w:sz="0"/>
              <w:left w:val="none" w:color="000000" w:sz="0"/>
              <w:bottom w:val="none" w:color="000000" w:sz="0"/>
              <w:right w:val="none" w:color="000000" w:sz="0"/>
            </w:tcBorders>
            <w:vAlign w:val="top"/>
          </w:tcPr>
          <w:p>
            <w:r>
              <w:t xml:space="preserve">Multi-Purpose Services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8</w:t>
            </w:r>
          </w:p>
        </w:tc>
        <w:tc>
          <w:tcPr>
            <w:tcBorders>
              <w:top w:val="none" w:color="000000" w:sz="0"/>
              <w:left w:val="none" w:color="000000" w:sz="0"/>
              <w:bottom w:val="none" w:color="000000" w:sz="0"/>
              <w:right w:val="none" w:color="000000" w:sz="0"/>
            </w:tcBorders>
            <w:vAlign w:val="top"/>
          </w:tcPr>
          <w:p>
            <w:r>
              <w:t xml:space="preserve">National Aboriginal and Torres Strait Islander Flexible Aged Care Program</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9</w:t>
            </w:r>
          </w:p>
        </w:tc>
        <w:tc>
          <w:tcPr>
            <w:tcBorders>
              <w:top w:val="none" w:color="000000" w:sz="0"/>
              <w:left w:val="none" w:color="000000" w:sz="0"/>
              <w:bottom w:val="none" w:color="000000" w:sz="0"/>
              <w:right w:val="none" w:color="000000" w:sz="0"/>
            </w:tcBorders>
            <w:vAlign w:val="top"/>
          </w:tcPr>
          <w:p>
            <w:r>
              <w:t xml:space="preserve">Department of Veteran’s Affairs services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10</w:t>
            </w:r>
          </w:p>
        </w:tc>
        <w:tc>
          <w:tcPr>
            <w:tcBorders>
              <w:top w:val="none" w:color="000000" w:sz="0"/>
              <w:left w:val="none" w:color="000000" w:sz="0"/>
              <w:bottom w:val="none" w:color="000000" w:sz="0"/>
              <w:right w:val="none" w:color="000000" w:sz="0"/>
            </w:tcBorders>
            <w:vAlign w:val="top"/>
          </w:tcPr>
          <w:p>
            <w:r>
              <w:t xml:space="preserve">National Disability Insurance Scheme services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11</w:t>
            </w:r>
          </w:p>
        </w:tc>
        <w:tc>
          <w:tcPr>
            <w:tcBorders>
              <w:top w:val="none" w:color="000000" w:sz="0"/>
              <w:left w:val="none" w:color="000000" w:sz="0"/>
              <w:bottom w:val="none" w:color="000000" w:sz="0"/>
              <w:right w:val="none" w:color="000000" w:sz="0"/>
            </w:tcBorders>
            <w:vAlign w:val="top"/>
          </w:tcPr>
          <w:p>
            <w:r>
              <w:t xml:space="preserve">Housing/homelessness services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12</w:t>
            </w:r>
          </w:p>
        </w:tc>
        <w:tc>
          <w:tcPr>
            <w:tcBorders>
              <w:top w:val="none" w:color="000000" w:sz="0"/>
              <w:left w:val="none" w:color="000000" w:sz="0"/>
              <w:bottom w:val="none" w:color="000000" w:sz="0"/>
              <w:right w:val="none" w:color="000000" w:sz="0"/>
            </w:tcBorders>
            <w:vAlign w:val="top"/>
          </w:tcPr>
          <w:p>
            <w:r>
              <w:t xml:space="preserve">Other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13</w:t>
            </w:r>
          </w:p>
        </w:tc>
        <w:tc>
          <w:tcPr>
            <w:tcBorders>
              <w:top w:val="none" w:color="000000" w:sz="0"/>
              <w:left w:val="none" w:color="000000" w:sz="0"/>
              <w:bottom w:val="none" w:color="000000" w:sz="0"/>
              <w:right w:val="none" w:color="000000" w:sz="0"/>
            </w:tcBorders>
            <w:vAlign w:val="top"/>
          </w:tcPr>
          <w:p>
            <w:r>
              <w:t xml:space="preserve">None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Supplementary values:</w:t>
            </w:r>
          </w:p>
        </w:tc>
        <w:tc>
          <w:tcPr>
            <w:tcW w:w="1000" w:type="pct"/>
            <w:tcBorders>
              <w:top w:val="none" w:color="000000" w:sz="0"/>
              <w:left w:val="none" w:color="000000" w:sz="0"/>
              <w:bottom w:val="none" w:color="000000" w:sz="0"/>
              <w:right w:val="none" w:color="000000" w:sz="0"/>
            </w:tcBorders>
            <w:vAlign w:val="top"/>
          </w:tcPr>
          <w:p>
            <w:r>
              <w:t xml:space="preserve">97</w:t>
            </w:r>
          </w:p>
        </w:tc>
        <w:tc>
          <w:tcPr>
            <w:tcBorders>
              <w:top w:val="none" w:color="000000" w:sz="0"/>
              <w:left w:val="none" w:color="000000" w:sz="0"/>
              <w:bottom w:val="none" w:color="000000" w:sz="0"/>
              <w:right w:val="none" w:color="000000" w:sz="0"/>
            </w:tcBorders>
            <w:vAlign w:val="top"/>
          </w:tcPr>
          <w:p>
            <w:r>
              <w:t xml:space="preserve">Not applicable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98</w:t>
            </w:r>
          </w:p>
        </w:tc>
        <w:tc>
          <w:tcPr>
            <w:tcBorders>
              <w:top w:val="none" w:color="000000" w:sz="0"/>
              <w:left w:val="none" w:color="000000" w:sz="0"/>
              <w:bottom w:val="none" w:color="000000" w:sz="0"/>
              <w:right w:val="none" w:color="000000" w:sz="0"/>
            </w:tcBorders>
            <w:vAlign w:val="top"/>
          </w:tcPr>
          <w:p>
            <w:r>
              <w:t xml:space="preserve">Unknown/unable to be determined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99</w:t>
            </w:r>
            <w:r>
              <w:br/>
            </w:r>
            <w:r>
              <w:t xml:space="preserve"> </w:t>
            </w:r>
          </w:p>
        </w:tc>
        <w:tc>
          <w:tcPr>
            <w:tcBorders>
              <w:top w:val="none" w:color="000000" w:sz="0"/>
              <w:left w:val="none" w:color="000000" w:sz="0"/>
              <w:bottom w:val="none" w:color="000000" w:sz="0"/>
              <w:right w:val="none" w:color="000000" w:sz="0"/>
            </w:tcBorders>
            <w:vAlign w:val="top"/>
          </w:tcPr>
          <w:p>
            <w:r>
              <w:t xml:space="preserve">Not stated/inadequately described</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CODE 1     Home Care Package</w:t>
            </w:r>
          </w:p>
          <w:p>
            <w:pPr>
              <w:spacing w:after="160"/>
            </w:pPr>
            <w:r>
              <w:rPr>
                <w:rStyle w:val="row-content-rich-text"/>
              </w:rPr>
              <w:t xml:space="preserve">This code applies where people are recommended for a Home Care Package at any level.</w:t>
            </w:r>
          </w:p>
          <w:p>
            <w:pPr>
              <w:spacing w:after="160"/>
            </w:pPr>
            <w:r>
              <w:rPr>
                <w:rStyle w:val="row-content-rich-text"/>
              </w:rPr>
              <w:t xml:space="preserve">CODE 2     Residential aged care (permanent)</w:t>
            </w:r>
          </w:p>
          <w:p>
            <w:pPr>
              <w:spacing w:after="160"/>
            </w:pPr>
            <w:r>
              <w:rPr>
                <w:rStyle w:val="row-content-rich-text"/>
              </w:rPr>
              <w:t xml:space="preserve">This code applies where people are recommended for permanent residential aged care.</w:t>
            </w:r>
          </w:p>
          <w:p>
            <w:pPr>
              <w:spacing w:after="160"/>
            </w:pPr>
            <w:r>
              <w:rPr>
                <w:rStyle w:val="row-content-rich-text"/>
              </w:rPr>
              <w:t xml:space="preserve">CODE 3     Residential aged care (respite)</w:t>
            </w:r>
          </w:p>
          <w:p>
            <w:pPr>
              <w:spacing w:after="160"/>
            </w:pPr>
            <w:r>
              <w:rPr>
                <w:rStyle w:val="row-content-rich-text"/>
              </w:rPr>
              <w:t xml:space="preserve">This code applies where people are recommended for respite residential aged care.</w:t>
            </w:r>
          </w:p>
          <w:p>
            <w:pPr>
              <w:spacing w:after="160"/>
            </w:pPr>
            <w:r>
              <w:rPr>
                <w:rStyle w:val="row-content-rich-text"/>
              </w:rPr>
              <w:t xml:space="preserve">CODE 4     Short-term restorative care</w:t>
            </w:r>
          </w:p>
          <w:p>
            <w:pPr>
              <w:spacing w:after="160"/>
            </w:pPr>
            <w:r>
              <w:rPr>
                <w:rStyle w:val="row-content-rich-text"/>
              </w:rPr>
              <w:t xml:space="preserve">This code applies where people are recommended for Short-Term Restorative Care, consisting of time-limited care that is delivered to help eligible people improve their wellbeing and independence. Care may be provided in the home, an aged care home or in the community. Support may be provided for up to 8 weeks.</w:t>
            </w:r>
          </w:p>
          <w:p>
            <w:pPr>
              <w:spacing w:after="160"/>
            </w:pPr>
            <w:r>
              <w:rPr>
                <w:rStyle w:val="row-content-rich-text"/>
              </w:rPr>
              <w:t xml:space="preserve">CODE 5     Transition Care Program</w:t>
            </w:r>
          </w:p>
          <w:p>
            <w:pPr>
              <w:spacing w:after="160"/>
            </w:pPr>
            <w:r>
              <w:rPr>
                <w:rStyle w:val="row-content-rich-text"/>
              </w:rPr>
              <w:t xml:space="preserve">This code applies where people are recommended for the Transition Care Program, consisting of time-limited care to help eligible people recover after a stay in hospital. Care may be provided in the home, an aged care home or in the community for up to 12 weeks.</w:t>
            </w:r>
          </w:p>
          <w:p>
            <w:pPr>
              <w:spacing w:after="160"/>
            </w:pPr>
            <w:r>
              <w:rPr>
                <w:rStyle w:val="row-content-rich-text"/>
              </w:rPr>
              <w:t xml:space="preserve">CODE 6     Commonwealth Home Support Program</w:t>
            </w:r>
          </w:p>
          <w:p>
            <w:pPr>
              <w:spacing w:after="160"/>
            </w:pPr>
            <w:r>
              <w:rPr>
                <w:rStyle w:val="row-content-rich-text"/>
              </w:rPr>
              <w:t xml:space="preserve">This code applies where people are recommended for the Commonwealth Home Support Program, consisting of entry-level support for eligible people who need some help to stay at home. Service providers receive Australian Government funding through grant agreements.</w:t>
            </w:r>
          </w:p>
          <w:p>
            <w:pPr>
              <w:spacing w:after="160"/>
            </w:pPr>
            <w:r>
              <w:rPr>
                <w:rStyle w:val="row-content-rich-text"/>
              </w:rPr>
              <w:t xml:space="preserve">CODE 7     Multi-Purpose Services</w:t>
            </w:r>
          </w:p>
          <w:p>
            <w:pPr>
              <w:spacing w:after="160"/>
            </w:pPr>
            <w:r>
              <w:rPr>
                <w:rStyle w:val="row-content-rich-text"/>
              </w:rPr>
              <w:t xml:space="preserve">This code applies where people are recommended for Multi-Purpose Services, consisting of integrated health and aged care services for eligible people living in small communities in regional and remote areas. Care may be provided in the home, an aged care home or in the community; services may be co-located with a hospital.</w:t>
            </w:r>
          </w:p>
          <w:p>
            <w:pPr>
              <w:spacing w:after="160"/>
            </w:pPr>
            <w:r>
              <w:rPr>
                <w:rStyle w:val="row-content-rich-text"/>
              </w:rPr>
              <w:t xml:space="preserve">CODE 8     National Aboriginal and Torres Strait Islander Flexible Aged Care Program</w:t>
            </w:r>
          </w:p>
          <w:p>
            <w:pPr>
              <w:spacing w:after="160"/>
            </w:pPr>
            <w:r>
              <w:rPr>
                <w:rStyle w:val="row-content-rich-text"/>
              </w:rPr>
              <w:t xml:space="preserve">This code applies where people are recommended for National Flexible Aboriginal and Torres Strait Islander Flexible Aged Care Program, consisting of culturally appropriate aged care delivered close to local communities. Care may be provided in the home, an aged care home or in the community as required to meet the needs of Aboriginal and Torres Strait Islander peoples and allow them to remain close to home and community.</w:t>
            </w:r>
          </w:p>
          <w:p>
            <w:pPr>
              <w:spacing w:after="160"/>
            </w:pPr>
            <w:r>
              <w:rPr>
                <w:rStyle w:val="row-content-rich-text"/>
              </w:rPr>
              <w:t xml:space="preserve">CODE 9     Department of Veterans Affairs services</w:t>
            </w:r>
          </w:p>
          <w:p>
            <w:pPr>
              <w:spacing w:after="160"/>
            </w:pPr>
            <w:r>
              <w:rPr>
                <w:rStyle w:val="row-content-rich-text"/>
              </w:rPr>
              <w:t xml:space="preserve">This code applies where people are recommended for Department of Veterans Affairs (DVA) services, such as those provided through Community Nursing or other DVA-funded aged care services.</w:t>
            </w:r>
          </w:p>
          <w:p>
            <w:pPr>
              <w:spacing w:after="160"/>
            </w:pPr>
            <w:r>
              <w:rPr>
                <w:rStyle w:val="row-content-rich-text"/>
              </w:rPr>
              <w:t xml:space="preserve">CODE 10     National Disability Insurance Scheme Services</w:t>
            </w:r>
          </w:p>
          <w:p>
            <w:pPr>
              <w:spacing w:after="160"/>
            </w:pPr>
            <w:r>
              <w:rPr>
                <w:rStyle w:val="row-content-rich-text"/>
              </w:rPr>
              <w:t xml:space="preserve">This code applies where people are recommended for National Disability Insurance Scheme Services (NDIS) services.</w:t>
            </w:r>
          </w:p>
          <w:p>
            <w:pPr>
              <w:spacing w:after="160"/>
            </w:pPr>
            <w:r>
              <w:rPr>
                <w:rStyle w:val="row-content-rich-text"/>
              </w:rPr>
              <w:t xml:space="preserve">CODE 11     Housing/homelessness services</w:t>
            </w:r>
          </w:p>
          <w:p>
            <w:pPr>
              <w:spacing w:after="160"/>
            </w:pPr>
            <w:r>
              <w:rPr>
                <w:rStyle w:val="row-content-rich-text"/>
              </w:rPr>
              <w:t xml:space="preserve">This code applies where people are recommended for formal housing and homelessness services, such as those offered by state/territory government or non-government operators.</w:t>
            </w:r>
          </w:p>
          <w:p>
            <w:pPr>
              <w:spacing w:after="160"/>
            </w:pPr>
            <w:r>
              <w:rPr>
                <w:rStyle w:val="row-content-rich-text"/>
              </w:rPr>
              <w:t xml:space="preserve">CODE 12     Other</w:t>
            </w:r>
          </w:p>
          <w:p>
            <w:pPr>
              <w:spacing w:after="160"/>
            </w:pPr>
            <w:r>
              <w:rPr>
                <w:rStyle w:val="row-content-rich-text"/>
              </w:rPr>
              <w:t xml:space="preserve">This code applies where people are recommended for other formal care as part of the aged care assessment.</w:t>
            </w:r>
          </w:p>
          <w:p>
            <w:pPr>
              <w:spacing w:after="160"/>
            </w:pPr>
            <w:r>
              <w:rPr>
                <w:rStyle w:val="row-content-rich-text"/>
              </w:rPr>
              <w:t xml:space="preserve">CODE 13     None</w:t>
            </w:r>
          </w:p>
          <w:p>
            <w:pPr>
              <w:spacing w:after="160"/>
            </w:pPr>
            <w:r>
              <w:rPr>
                <w:rStyle w:val="row-content-rich-text"/>
              </w:rPr>
              <w:t xml:space="preserve">This code applies where people are not recommended for any formal care as part of the aged care assessment.</w:t>
            </w:r>
          </w:p>
          <w:p>
            <w:pPr>
              <w:spacing w:after="160"/>
            </w:pPr>
            <w:r>
              <w:rPr>
                <w:rStyle w:val="row-content-rich-text"/>
              </w:rPr>
              <w:t xml:space="preserve">CODE 97     Not applicable</w:t>
            </w:r>
          </w:p>
          <w:p>
            <w:pPr>
              <w:spacing w:after="160"/>
            </w:pPr>
            <w:r>
              <w:rPr>
                <w:rStyle w:val="row-content-rich-text"/>
              </w:rPr>
              <w:t xml:space="preserve">This code applies where people are not recommended for any formal care.</w:t>
            </w:r>
          </w:p>
          <w:p>
            <w:pPr>
              <w:spacing w:after="160"/>
            </w:pPr>
            <w:r>
              <w:rPr>
                <w:rStyle w:val="row-content-rich-text"/>
              </w:rPr>
              <w:t xml:space="preserve">CODE 98     Unknown/unable to be determined</w:t>
            </w:r>
          </w:p>
          <w:p>
            <w:pPr>
              <w:spacing w:after="160"/>
            </w:pPr>
            <w:r>
              <w:rPr>
                <w:rStyle w:val="row-content-rich-text"/>
              </w:rPr>
              <w:t xml:space="preserve">This code is used where the assessor was not able to determine a recommendation.</w:t>
            </w:r>
          </w:p>
          <w:p>
            <w:pPr>
              <w:spacing w:after="160"/>
            </w:pPr>
            <w:r>
              <w:rPr>
                <w:rStyle w:val="row-content-rich-text"/>
              </w:rPr>
              <w:t xml:space="preserve"> CODE 99     Not stated/inadequately described</w:t>
            </w:r>
          </w:p>
          <w:p>
            <w:pPr/>
            <w:r>
              <w:rPr>
                <w:rStyle w:val="row-content-rich-text"/>
              </w:rPr>
              <w:t xml:space="preserve">This code is not to be used on primary collection forms.</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Department of Health, Disability and Ageing</w:t>
            </w:r>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Has been superseded by </w:t>
            </w:r>
            <w:hyperlink w:history="true" r:id="R1ceccda6a43e4467">
              <w:r>
                <w:rPr>
                  <w:rStyle w:val="Hyperlink"/>
                </w:rPr>
                <w:t xml:space="preserve">Recommended formal care code N[N]</w:t>
              </w:r>
            </w:hyperlink>
          </w:p>
          <w:p>
            <w:pPr>
              <w:pStyle w:val="registration-status"/>
              <w:spacing w:before="0" w:after="0"/>
            </w:pPr>
            <w:hyperlink w:history="true" r:id="R66c11af6b10e4f56">
              <w:r>
                <w:rPr>
                  <w:rStyle w:val="Hyperlink"/>
                  <w:color w:val="244061"/>
                </w:rPr>
                <w:t xml:space="preserve">Aged Care</w:t>
              </w:r>
            </w:hyperlink>
            <w:r>
              <w:rPr>
                <w:rStyle w:val="row-content"/>
                <w:color w:val="244061"/>
              </w:rPr>
              <w:t xml:space="preserve">, Standard 31/10/2025</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elements implementing this value domain:</w:t>
            </w:r>
          </w:p>
        </w:tc>
        <w:tc>
          <w:tcPr>
            <w:tcBorders>
              <w:top w:val="none" w:color="000000" w:sz="0"/>
              <w:left w:val="none" w:color="000000" w:sz="0"/>
              <w:bottom w:val="none" w:color="000000" w:sz="0"/>
              <w:right w:val="none" w:color="000000" w:sz="0"/>
            </w:tcBorders>
            <w:vAlign w:val="top"/>
          </w:tcPr>
          <w:p>
            <w:hyperlink w:history="true" r:id="R14cad18b4b13418f">
              <w:r>
                <w:rPr>
                  <w:rStyle w:val="Hyperlink"/>
                </w:rPr>
                <w:t xml:space="preserve">Aged care assessment—recommended formal care, code N[N]</w:t>
              </w:r>
            </w:hyperlink>
          </w:p>
          <w:p>
            <w:pPr>
              <w:pStyle w:val="registration-status"/>
              <w:spacing w:before="0" w:after="0"/>
            </w:pPr>
            <w:hyperlink w:history="true" r:id="R9b5867b9bd3a4c9c">
              <w:r>
                <w:rPr>
                  <w:rStyle w:val="Hyperlink"/>
                  <w:color w:val="244061"/>
                </w:rPr>
                <w:t xml:space="preserve">Aged Care</w:t>
              </w:r>
            </w:hyperlink>
            <w:r>
              <w:rPr>
                <w:rStyle w:val="row-content"/>
                <w:color w:val="244061"/>
              </w:rPr>
              <w:t xml:space="preserve">, Superseded 31/10/2025</w:t>
            </w:r>
          </w:p>
          <w:p>
            <w:r>
              <w:br/>
            </w:r>
          </w:p>
        </w:tc>
      </w:tr>
    </w:tbl>
    <w:p>
      <w:r>
        <w:br/>
      </w:r>
    </w:p>
    <w:sectPr>
      <w:footerReference xmlns:r="http://schemas.openxmlformats.org/officeDocument/2006/relationships" w:type="default" r:id="R82eaf7a21bdb457d"/>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775210</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66dfe381ce09423e"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82eaf7a21bdb457d" /><Relationship Type="http://schemas.openxmlformats.org/officeDocument/2006/relationships/header" Target="/word/header1.xml" Id="R1067f9939c594f7d" /><Relationship Type="http://schemas.openxmlformats.org/officeDocument/2006/relationships/settings" Target="/word/settings.xml" Id="R7ab6c003ac734852" /><Relationship Type="http://schemas.openxmlformats.org/officeDocument/2006/relationships/styles" Target="/word/styles.xml" Id="R0d6690af5482464b" /><Relationship Type="http://schemas.openxmlformats.org/officeDocument/2006/relationships/hyperlink" Target="https://meteor.aihw.gov.au/RegistrationAuthority/19" TargetMode="External" Id="Rfdc26fb26e6147fa" /><Relationship Type="http://schemas.openxmlformats.org/officeDocument/2006/relationships/hyperlink" Target="https://meteor.aihw.gov.au/content/807387" TargetMode="External" Id="R1ceccda6a43e4467" /><Relationship Type="http://schemas.openxmlformats.org/officeDocument/2006/relationships/hyperlink" Target="https://meteor.aihw.gov.au/RegistrationAuthority/19" TargetMode="External" Id="R66c11af6b10e4f56" /><Relationship Type="http://schemas.openxmlformats.org/officeDocument/2006/relationships/hyperlink" Target="https://meteor.aihw.gov.au/content/775232" TargetMode="External" Id="R14cad18b4b13418f" /><Relationship Type="http://schemas.openxmlformats.org/officeDocument/2006/relationships/hyperlink" Target="https://meteor.aihw.gov.au/RegistrationAuthority/19" TargetMode="External" Id="R9b5867b9bd3a4c9c" /></Relationships>
</file>

<file path=word/_rels/header1.xml.rels>&#65279;<?xml version="1.0" encoding="utf-8"?><Relationships xmlns="http://schemas.openxmlformats.org/package/2006/relationships"><Relationship Type="http://schemas.openxmlformats.org/officeDocument/2006/relationships/image" Target="/media/image.png" Id="R66dfe381ce09423e" /></Relationships>
</file>