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f47a2a836404f" /></Relationships>
</file>

<file path=word/document.xml><?xml version="1.0" encoding="utf-8"?>
<w:document xmlns:r="http://schemas.openxmlformats.org/officeDocument/2006/relationships" xmlns:w="http://schemas.openxmlformats.org/wordprocessingml/2006/main">
  <w:body>
    <w:p>
      <w:pPr>
        <w:pStyle w:val="Title"/>
      </w:pPr>
      <w:r>
        <w:t>Recommended long-term care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Recommended long-term care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5aaab169c41b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living environments considered most appropriate to the long-term care needs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specialised/supported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This code is used where the most appropriate long-term setting for the person is determined to be a private place of residence, such as a house, flat or unit. It can also include other types of private, self-contained residences such as boats, caravans or mobile homes. The residence may be owned outright, mortgaged or rented (whether private rental or public rental), but does not include communal or transitory accommodation.</w:t>
            </w:r>
          </w:p>
          <w:p>
            <w:pPr>
              <w:spacing w:after="160"/>
            </w:pPr>
            <w:r>
              <w:rPr>
                <w:rStyle w:val="row-content-rich-text"/>
              </w:rPr>
              <w:t xml:space="preserve">CODE 2     Residential aged care service</w:t>
            </w:r>
          </w:p>
          <w:p>
            <w:pPr>
              <w:spacing w:after="160"/>
            </w:pPr>
            <w:r>
              <w:rPr>
                <w:rStyle w:val="row-content-rich-text"/>
              </w:rPr>
              <w:t xml:space="preserve">This code is used where the most appropriate long-term setting for the person is determined to be a residential aged care service (commonly known as nursing homes or aged care homes). It does not include retirement villages or situations where people are expected to receive some care within a residential aged care setting but live in the community.</w:t>
            </w:r>
          </w:p>
          <w:p>
            <w:pPr>
              <w:spacing w:after="160"/>
            </w:pPr>
            <w:r>
              <w:rPr>
                <w:rStyle w:val="row-content-rich-text"/>
              </w:rPr>
              <w:t xml:space="preserve">CODE 3     Independent living within a retirement village</w:t>
            </w:r>
          </w:p>
          <w:p>
            <w:pPr>
              <w:spacing w:after="160"/>
            </w:pPr>
            <w:r>
              <w:rPr>
                <w:rStyle w:val="row-content-rich-text"/>
              </w:rPr>
              <w:t xml:space="preserve">This code is used where the most appropriate long-term setting for the person is determined to be a self-care living unit within a retirement village (irrespective of the type of tenure held over the residence). Independent living are types of accommodation for older people who are actively independent and able to care for themselves, meaning that they do not rely on care services.</w:t>
            </w:r>
          </w:p>
          <w:p>
            <w:pPr>
              <w:spacing w:after="160"/>
            </w:pPr>
            <w:r>
              <w:rPr>
                <w:rStyle w:val="row-content-rich-text"/>
              </w:rPr>
              <w:t xml:space="preserve">CODE 4     Other specialised/supported accommodation</w:t>
            </w:r>
          </w:p>
          <w:p>
            <w:pPr>
              <w:spacing w:after="160"/>
            </w:pPr>
            <w:r>
              <w:rPr>
                <w:rStyle w:val="row-content-rich-text"/>
              </w:rPr>
              <w:t xml:space="preserve">This code is used where the most appropriate long-term setting for the person is determined to be supported community accommodation. This includes community living settings or accommodation facilities in which a person is provided with some kind of community support by staff or volunteers (i.e., they are not living independently). It includes people living in retirement villages who are not living independently.</w:t>
            </w:r>
          </w:p>
          <w:p>
            <w:pPr>
              <w:spacing w:after="160"/>
            </w:pPr>
            <w:r>
              <w:rPr>
                <w:rStyle w:val="row-content-rich-text"/>
              </w:rPr>
              <w:t xml:space="preserve">CODE 5     Hospital</w:t>
            </w:r>
          </w:p>
          <w:p>
            <w:pPr>
              <w:spacing w:after="160"/>
            </w:pPr>
            <w:r>
              <w:rPr>
                <w:rStyle w:val="row-content-rich-text"/>
              </w:rPr>
              <w:t xml:space="preserve">This code is used where the most appropriate long-term setting for the person is determined to be care within a hospital setting. It can include mental health facilities or palliative care hospices associated with hospitals.</w:t>
            </w:r>
          </w:p>
          <w:p>
            <w:pPr>
              <w:spacing w:after="160"/>
            </w:pPr>
            <w:r>
              <w:rPr>
                <w:rStyle w:val="row-content-rich-text"/>
              </w:rPr>
              <w:t xml:space="preserve">CODE 10     Other</w:t>
            </w:r>
          </w:p>
          <w:p>
            <w:pPr>
              <w:spacing w:after="160"/>
            </w:pPr>
            <w:r>
              <w:rPr>
                <w:rStyle w:val="row-content-rich-text"/>
              </w:rPr>
              <w:t xml:space="preserve">This code is used where the most appropriate long-term setting for the person is determined to be another setting not covered by the codes listed above. This can include Indigenous communities and settlements, boarding houses and crisis or transitional housing.</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a recommendation for long-term care setting. </w:t>
            </w:r>
          </w:p>
          <w:p>
            <w:pPr>
              <w:spacing w:after="160"/>
            </w:pPr>
            <w:r>
              <w:rPr>
                <w:rStyle w:val="row-content-rich-text"/>
              </w:rPr>
              <w:t xml:space="preserve">CODE 98     Unknown/unable to be determined</w:t>
            </w:r>
          </w:p>
          <w:p>
            <w:pPr>
              <w:spacing w:after="160"/>
            </w:pPr>
            <w:r>
              <w:rPr>
                <w:rStyle w:val="row-content-rich-text"/>
              </w:rPr>
              <w:t xml:space="preserve">This code is used for care settings which are not one of those listed above and the description is either incomplete or missing.</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fb62b637bf4011">
              <w:r>
                <w:rPr>
                  <w:rStyle w:val="Hyperlink"/>
                </w:rPr>
                <w:t xml:space="preserve">Aged care assessment—recommended care setting, code N[N]</w:t>
              </w:r>
            </w:hyperlink>
          </w:p>
          <w:p>
            <w:pPr>
              <w:pStyle w:val="registration-status"/>
              <w:spacing w:before="0" w:after="0"/>
            </w:pPr>
            <w:hyperlink w:history="true" r:id="Rf473bc874ca84032">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f56ac5e2b2af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6a56c8a6d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ac5e2b2af41a7" /><Relationship Type="http://schemas.openxmlformats.org/officeDocument/2006/relationships/header" Target="/word/header1.xml" Id="Rfe03bc9bb78d4d90" /><Relationship Type="http://schemas.openxmlformats.org/officeDocument/2006/relationships/settings" Target="/word/settings.xml" Id="R7fe25cbdd6414e43" /><Relationship Type="http://schemas.openxmlformats.org/officeDocument/2006/relationships/styles" Target="/word/styles.xml" Id="R4ab326047e4d406c" /><Relationship Type="http://schemas.openxmlformats.org/officeDocument/2006/relationships/hyperlink" Target="https://meteor.aihw.gov.au/RegistrationAuthority/19" TargetMode="External" Id="Re265aaab169c41b5" /><Relationship Type="http://schemas.openxmlformats.org/officeDocument/2006/relationships/hyperlink" Target="https://meteor.aihw.gov.au/content/775230" TargetMode="External" Id="R3dfb62b637bf4011" /><Relationship Type="http://schemas.openxmlformats.org/officeDocument/2006/relationships/hyperlink" Target="https://meteor.aihw.gov.au/RegistrationAuthority/19" TargetMode="External" Id="Rf473bc874ca84032" /></Relationships>
</file>

<file path=word/_rels/header1.xml.rels>&#65279;<?xml version="1.0" encoding="utf-8"?><Relationships xmlns="http://schemas.openxmlformats.org/package/2006/relationships"><Relationship Type="http://schemas.openxmlformats.org/officeDocument/2006/relationships/image" Target="/media/image.png" Id="R0eb6a56c8a6d4049" /></Relationships>
</file>