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d1bf5b2a724a1b" /></Relationships>
</file>

<file path=word/document.xml><?xml version="1.0" encoding="utf-8"?>
<w:document xmlns:r="http://schemas.openxmlformats.org/officeDocument/2006/relationships" xmlns:w="http://schemas.openxmlformats.org/wordprocessingml/2006/main">
  <w:body>
    <w:p>
      <w:pPr>
        <w:pStyle w:val="Title"/>
      </w:pPr>
      <w:r>
        <w:t>Aged care assessment setting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0fc59677148a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in which aged care assessments may take place.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Person's home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Carer's home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Public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hospital inpatient setting – Private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hospital inpatient setting – Public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Clinic or other health setting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Person's home</w:t>
            </w:r>
          </w:p>
          <w:p>
            <w:pPr>
              <w:spacing w:after="160"/>
            </w:pPr>
            <w:r>
              <w:rPr>
                <w:rStyle w:val="row-content-rich-text"/>
              </w:rPr>
              <w:t xml:space="preserve">This code applies to instances where assessments took place in the person's usual residence, where that is a private home.</w:t>
            </w:r>
          </w:p>
          <w:p>
            <w:pPr>
              <w:spacing w:after="160"/>
            </w:pPr>
            <w:r>
              <w:rPr>
                <w:rStyle w:val="row-content-rich-text"/>
              </w:rPr>
              <w:t xml:space="preserve">CODE 2     Carer's home</w:t>
            </w:r>
          </w:p>
          <w:p>
            <w:pPr>
              <w:spacing w:after="160"/>
            </w:pPr>
            <w:r>
              <w:rPr>
                <w:rStyle w:val="row-content-rich-text"/>
              </w:rPr>
              <w:t xml:space="preserve">This code applies to instances where assessments took place in the person's carer's home. It refers to the carer's usual place of residence where that is a private home and is different to the person's home. If the person lives in the same usual residence as the carer, report as Code 1.</w:t>
            </w:r>
          </w:p>
          <w:p>
            <w:pPr>
              <w:spacing w:after="160"/>
            </w:pPr>
            <w:r>
              <w:rPr>
                <w:rStyle w:val="row-content-rich-text"/>
              </w:rPr>
              <w:t xml:space="preserve">CODE 3     Other community setting</w:t>
            </w:r>
          </w:p>
          <w:p>
            <w:pPr>
              <w:spacing w:after="160"/>
            </w:pPr>
            <w:r>
              <w:rPr>
                <w:rStyle w:val="row-content-rich-text"/>
              </w:rPr>
              <w:t xml:space="preserve">This code applies to instances where assessments took place in a community setting. It includes outpatient clinics, retirement villages, independent living units and Aboriginal Medical Centres. It includes assessments in a private home which were not the usual residence of the person or their carer.</w:t>
            </w:r>
          </w:p>
          <w:p>
            <w:pPr>
              <w:spacing w:after="160"/>
            </w:pPr>
            <w:r>
              <w:rPr>
                <w:rStyle w:val="row-content-rich-text"/>
              </w:rPr>
              <w:t xml:space="preserve">CODE 4     Residential aged care service</w:t>
            </w:r>
          </w:p>
          <w:p>
            <w:pPr>
              <w:spacing w:after="160"/>
            </w:pPr>
            <w:r>
              <w:rPr>
                <w:rStyle w:val="row-content-rich-text"/>
              </w:rPr>
              <w:t xml:space="preserve">This code applies to instances where assessments took place in a residential aged care service. This is a place of residence for people who can no longer reside in their own home and may require ongoing personal care.</w:t>
            </w:r>
          </w:p>
          <w:p>
            <w:pPr>
              <w:spacing w:after="160"/>
            </w:pPr>
            <w:r>
              <w:rPr>
                <w:rStyle w:val="row-content-rich-text"/>
              </w:rPr>
              <w:t xml:space="preserve">CODE 5     Private hospital</w:t>
            </w:r>
          </w:p>
          <w:p>
            <w:pPr>
              <w:spacing w:after="160"/>
            </w:pPr>
            <w:r>
              <w:rPr>
                <w:rStyle w:val="row-content-rich-text"/>
              </w:rPr>
              <w:t xml:space="preserve">This code applies to instances where assessments took place in a private hospital when the person was an inpatient or admitted patient. Private hospitals are those owned and managed by private for-profit and not-for-profit entities.</w:t>
            </w:r>
          </w:p>
          <w:p>
            <w:pPr>
              <w:spacing w:after="160"/>
            </w:pPr>
            <w:r>
              <w:rPr>
                <w:rStyle w:val="row-content-rich-text"/>
              </w:rPr>
              <w:t xml:space="preserve">CODE 6     Public hospital</w:t>
            </w:r>
          </w:p>
          <w:p>
            <w:pPr>
              <w:spacing w:after="160"/>
            </w:pPr>
            <w:r>
              <w:rPr>
                <w:rStyle w:val="row-content-rich-text"/>
              </w:rPr>
              <w:t xml:space="preserve">This code applies to instances where assessments took place in a public hospital when the person was an inpatient or admitted patient. A public hospital is owned and managed by the government.</w:t>
            </w:r>
          </w:p>
          <w:p>
            <w:pPr>
              <w:spacing w:after="160"/>
            </w:pPr>
            <w:r>
              <w:rPr>
                <w:rStyle w:val="row-content-rich-text"/>
              </w:rPr>
              <w:t xml:space="preserve">CODE 7     Other hospital inpatient setting – private</w:t>
            </w:r>
          </w:p>
          <w:p>
            <w:pPr>
              <w:spacing w:after="160"/>
            </w:pPr>
            <w:r>
              <w:rPr>
                <w:rStyle w:val="row-content-rich-text"/>
              </w:rPr>
              <w:t xml:space="preserve">This code applies to instances where assessments took place in other private hospital inpatient settings, such as specialised private outpatient services, rehabilitation centres and urgent care centres.</w:t>
            </w:r>
          </w:p>
          <w:p>
            <w:pPr>
              <w:spacing w:after="160"/>
            </w:pPr>
            <w:r>
              <w:rPr>
                <w:rStyle w:val="row-content-rich-text"/>
              </w:rPr>
              <w:t xml:space="preserve">CODE 8     Other hospital inpatient setting – public</w:t>
            </w:r>
          </w:p>
          <w:p>
            <w:pPr>
              <w:spacing w:after="160"/>
            </w:pPr>
            <w:r>
              <w:rPr>
                <w:rStyle w:val="row-content-rich-text"/>
              </w:rPr>
              <w:t xml:space="preserve">This code applies to instances where assessments took place in other public hospital inpatient settings such as walk-in medical centres, nursing inpatient clinics and public rehabilitation centres.</w:t>
            </w:r>
          </w:p>
          <w:p>
            <w:pPr>
              <w:spacing w:after="160"/>
            </w:pPr>
            <w:r>
              <w:rPr>
                <w:rStyle w:val="row-content-rich-text"/>
              </w:rPr>
              <w:t xml:space="preserve">CODE 9     Clinic or other health setting not otherwise specified</w:t>
            </w:r>
          </w:p>
          <w:p>
            <w:pPr>
              <w:spacing w:after="160"/>
            </w:pPr>
            <w:r>
              <w:rPr>
                <w:rStyle w:val="row-content-rich-text"/>
              </w:rPr>
              <w:t xml:space="preserve">This code applies to instances where assessments took place in a clinic (not part of a hospital) where a health service is provided. This includes general practitioner clinics and specialist medical officer's rooms. This code also applies to other health settings not otherwise specified.</w:t>
            </w:r>
          </w:p>
          <w:p>
            <w:pPr>
              <w:spacing w:after="160"/>
            </w:pPr>
            <w:r>
              <w:rPr>
                <w:rStyle w:val="row-content-rich-text"/>
              </w:rPr>
              <w:t xml:space="preserve">CODE 20     Other</w:t>
            </w:r>
          </w:p>
          <w:p>
            <w:pPr>
              <w:spacing w:after="160"/>
            </w:pPr>
            <w:r>
              <w:rPr>
                <w:rStyle w:val="row-content-rich-text"/>
              </w:rPr>
              <w:t xml:space="preserve">This code applies to a setting not covered by codes 1-9.</w:t>
            </w:r>
          </w:p>
          <w:p>
            <w:pPr>
              <w:spacing w:after="160"/>
            </w:pPr>
            <w:r>
              <w:rPr>
                <w:rStyle w:val="row-content-rich-text"/>
              </w:rPr>
              <w:t xml:space="preserve">CODE 97     Not applicable</w:t>
            </w:r>
          </w:p>
          <w:p>
            <w:pPr>
              <w:spacing w:after="160"/>
            </w:pPr>
            <w:r>
              <w:rPr>
                <w:rStyle w:val="row-content-rich-text"/>
              </w:rPr>
              <w:t xml:space="preserve">This code applies where there was no assessment.</w:t>
            </w:r>
          </w:p>
          <w:p>
            <w:pPr>
              <w:spacing w:after="160"/>
            </w:pPr>
            <w:r>
              <w:rPr>
                <w:rStyle w:val="row-content-rich-text"/>
              </w:rPr>
              <w:t xml:space="preserve">CODE 98     Unknown/unable to be determined</w:t>
            </w:r>
          </w:p>
          <w:p>
            <w:pPr>
              <w:spacing w:after="160"/>
            </w:pPr>
            <w:r>
              <w:rPr>
                <w:rStyle w:val="row-content-rich-text"/>
              </w:rPr>
              <w:t xml:space="preserve">This code applies where the setting could not be specified or was not known to the assessor.</w:t>
            </w:r>
          </w:p>
          <w:p>
            <w:pPr>
              <w:spacing w:after="160"/>
            </w:pPr>
            <w:r>
              <w:rPr>
                <w:rStyle w:val="row-content-rich-text"/>
              </w:rPr>
              <w:t xml:space="preserve">CODE 99     Not stated/inadequately described</w:t>
            </w:r>
          </w:p>
          <w:p>
            <w:pPr/>
            <w:r>
              <w:rPr>
                <w:rStyle w:val="row-content-rich-text"/>
              </w:rPr>
              <w:t xml:space="preserve">This code applies where the setting is not stated or inadequately described. This code 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bdc64dc76a4de2">
              <w:r>
                <w:rPr>
                  <w:rStyle w:val="Hyperlink"/>
                </w:rPr>
                <w:t xml:space="preserve">Aged care assessment—assessment setting, code N[N]</w:t>
              </w:r>
            </w:hyperlink>
          </w:p>
          <w:p>
            <w:pPr>
              <w:pStyle w:val="registration-status"/>
              <w:spacing w:before="0" w:after="0"/>
            </w:pPr>
            <w:hyperlink w:history="true" r:id="Rb1da47bd6a2c4e89">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24a808515f5342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b0782a0e2a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808515f5342f0" /><Relationship Type="http://schemas.openxmlformats.org/officeDocument/2006/relationships/header" Target="/word/header1.xml" Id="Re1bebacbcee64c21" /><Relationship Type="http://schemas.openxmlformats.org/officeDocument/2006/relationships/settings" Target="/word/settings.xml" Id="Rb0ffa6deb5a5434f" /><Relationship Type="http://schemas.openxmlformats.org/officeDocument/2006/relationships/styles" Target="/word/styles.xml" Id="R20d0bf3815954642" /><Relationship Type="http://schemas.openxmlformats.org/officeDocument/2006/relationships/hyperlink" Target="https://meteor.aihw.gov.au/RegistrationAuthority/19" TargetMode="External" Id="R3590fc59677148ae" /><Relationship Type="http://schemas.openxmlformats.org/officeDocument/2006/relationships/hyperlink" Target="https://meteor.aihw.gov.au/content/775219" TargetMode="External" Id="R6abdc64dc76a4de2" /><Relationship Type="http://schemas.openxmlformats.org/officeDocument/2006/relationships/hyperlink" Target="https://meteor.aihw.gov.au/RegistrationAuthority/19" TargetMode="External" Id="Rb1da47bd6a2c4e89" /></Relationships>
</file>

<file path=word/_rels/header1.xml.rels>&#65279;<?xml version="1.0" encoding="utf-8"?><Relationships xmlns="http://schemas.openxmlformats.org/package/2006/relationships"><Relationship Type="http://schemas.openxmlformats.org/officeDocument/2006/relationships/image" Target="/media/image.png" Id="R80b0782a0e2a4a07" /></Relationships>
</file>