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19e09cee994cf0"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41563204d4c3b">
              <w:r>
                <w:rPr>
                  <w:rStyle w:val="Hyperlink"/>
                  <w:color w:val="244061"/>
                </w:rPr>
                <w:t xml:space="preserve">AIHW Data Quality Statements</w:t>
              </w:r>
            </w:hyperlink>
            <w:r>
              <w:rPr>
                <w:rStyle w:val="row-content"/>
                <w:color w:val="244061"/>
              </w:rPr>
              <w:t xml:space="preserve">, Standard 27/04/2023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Seclusion and Restraint Database was created in 2015 to enable reporting on the amount of seclusion and restraint in acute mental health hospital units. Data coverage is from 2008–09 for seclusion data and from 2015–16 for restraint data.</w:t>
            </w:r>
          </w:p>
          <w:p>
            <w:pPr>
              <w:spacing w:after="160"/>
            </w:pPr>
            <w:r>
              <w:rPr>
                <w:rStyle w:val="row-content-rich-text"/>
              </w:rPr>
              <w:t xml:space="preserve">The database is held by the Australian Institute of Health and Welfare (AIHW) and contains aggregate data on seclusion and restraint events, seclusion duration, episodes of care, mental health care days, and episodes with seclusion.</w:t>
            </w:r>
          </w:p>
          <w:p>
            <w:pPr>
              <w:spacing w:after="160"/>
            </w:pPr>
            <w:r>
              <w:rPr>
                <w:rStyle w:val="row-content-rich-text"/>
              </w:rPr>
              <w:t xml:space="preserve">Each year state and territory governments supply data to the AIHW under the Mental health seclusion and restraint National Best Endeavours Data Set (SECREST NBEDS) agreement.</w:t>
            </w:r>
          </w:p>
          <w:p>
            <w:pPr>
              <w:spacing w:after="160"/>
            </w:pPr>
            <w:r>
              <w:rPr>
                <w:rStyle w:val="row-content-rich-text"/>
              </w:rPr>
              <w:t xml:space="preserve">Data are supplied via a national standing agreement established under the former Safety and Quality Partnership Standing Committee (SQPSC), a committee of the former Mental Health Principal Committee (MHPC) under the former Australian Health Ministers' Advisory Council (AHMAC) structure.</w:t>
            </w:r>
          </w:p>
          <w:p>
            <w:pPr>
              <w:spacing w:after="160"/>
            </w:pPr>
            <w:r>
              <w:rPr>
                <w:rStyle w:val="row-content-rich-text"/>
                <w:b/>
              </w:rPr>
              <w:t xml:space="preserve">Summary</w:t>
            </w:r>
          </w:p>
          <w:p>
            <w:pPr>
              <w:pStyle w:val="ListParagraph"/>
              <w:numPr>
                <w:ilvl w:val="0"/>
                <w:numId w:val="2"/>
              </w:numPr>
            </w:pPr>
            <w:r>
              <w:rPr>
                <w:rStyle w:val="row-content-rich-text"/>
              </w:rPr>
              <w:t xml:space="preserve">The National Seclusion and Restraint Database contains data on seclusion and restraint events, episodes of care, patient days and episodes with seclusion for public sector specialised acute mental health hospital services in Australia. </w:t>
            </w:r>
          </w:p>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w:t>
            </w:r>
          </w:p>
          <w:p>
            <w:pPr>
              <w:pStyle w:val="ListParagraph"/>
              <w:numPr>
                <w:ilvl w:val="0"/>
                <w:numId w:val="2"/>
              </w:numPr>
            </w:pPr>
            <w:r>
              <w:rPr>
                <w:rStyle w:val="row-content-rich-text"/>
              </w:rPr>
              <w:t xml:space="preserve">Seclusion data are available for each year from 2008–09 and restraint data are available for each year from 2015–16. Comparisons over time should be made with caution, as changes in legislative and reporting requirements and improvements in reporting practices occur during the data collection. More information is in the Coherence section. </w:t>
            </w:r>
          </w:p>
          <w:p>
            <w:pPr>
              <w:pStyle w:val="ListParagraph"/>
              <w:numPr>
                <w:ilvl w:val="0"/>
                <w:numId w:val="2"/>
              </w:numPr>
            </w:pPr>
            <w:r>
              <w:rPr>
                <w:rStyle w:val="row-content-rich-text"/>
              </w:rPr>
              <w:t xml:space="preserve">Comparisons between states/territories should be undertaken with caution, as data reported by states and territories may vary in terms of the reporting of seclusion and restraint events and data quality. More information is in the Coherence section.</w:t>
            </w:r>
          </w:p>
          <w:p>
            <w:pPr>
              <w:pStyle w:val="ListParagraph"/>
              <w:numPr>
                <w:ilvl w:val="0"/>
                <w:numId w:val="2"/>
              </w:numPr>
            </w:pPr>
            <w:r>
              <w:rPr>
                <w:rStyle w:val="row-content-rich-text"/>
              </w:rPr>
              <w:t xml:space="preserve">Year to year changes in hospital-level rates of seclusion and restraint may reflect changes in the governance grouping of units or services reported under specific hospitals and/or changes in the number of seclusion and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8f9d5848a57345ea">
              <w:r>
                <w:rPr>
                  <w:rStyle w:val="Hyperlink"/>
                  <w:i/>
                </w:rPr>
                <w:t xml:space="preserve">Australian Institute of Health and Welfare Act 1987</w:t>
              </w:r>
            </w:hyperlink>
            <w:r>
              <w:rPr>
                <w:rStyle w:val="row-content-rich-text"/>
              </w:rPr>
              <w:t xml:space="preserve">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 </w:t>
            </w:r>
          </w:p>
          <w:p>
            <w:pPr>
              <w:spacing w:after="160"/>
            </w:pPr>
            <w:r>
              <w:rPr>
                <w:rStyle w:val="row-content-rich-text"/>
              </w:rPr>
              <w:t xml:space="preserve">Compliance with confidentiality requirements in the AIHW Act, Privacy Principles in the </w:t>
            </w:r>
            <w:hyperlink w:history="true" r:id="R649149ab280d427b">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aa3e4721a1d04008">
              <w:r>
                <w:rPr>
                  <w:rStyle w:val="Hyperlink"/>
                </w:rPr>
                <w:t xml:space="preserve">www.aihw.gov.au/about-us</w:t>
              </w:r>
            </w:hyperlink>
            <w:r>
              <w:rPr>
                <w:rStyle w:val="row-content-rich-text"/>
              </w:rPr>
              <w:t xml:space="preserve">, which includes details about the AIHW's governance (</w:t>
            </w:r>
            <w:hyperlink w:history="true" r:id="R156c29b9f1664b3d">
              <w:r>
                <w:rPr>
                  <w:rStyle w:val="Hyperlink"/>
                </w:rPr>
                <w:t xml:space="preserve">www.aihw.gov.au/about-us/our-governance</w:t>
              </w:r>
            </w:hyperlink>
            <w:r>
              <w:rPr>
                <w:rStyle w:val="row-content-rich-text"/>
              </w:rPr>
              <w:t xml:space="preserve">) and our role and strategic goals (</w:t>
            </w:r>
            <w:hyperlink w:history="true" r:id="R0155aec9cbcd4342">
              <w:r>
                <w:rPr>
                  <w:rStyle w:val="Hyperlink"/>
                </w:rPr>
                <w:t xml:space="preserve">www. aihw.gov.au/about-us/what-we-do</w:t>
              </w:r>
            </w:hyperlink>
            <w:r>
              <w:rPr>
                <w:rStyle w:val="row-content-rich-text"/>
              </w:rPr>
              <w:t xml:space="preserve">).</w:t>
            </w:r>
          </w:p>
          <w:p>
            <w:pPr/>
            <w:r>
              <w:rPr>
                <w:rStyle w:val="row-content-rich-text"/>
              </w:rPr>
              <w:t xml:space="preserve">The state and territory departments collate the data from in-scope services and provide unit record data to the AIHW under the Mental health seclusion and restraint National Best Endeavours Data Set (SECREST NBEDS) agreement. To release data at or below state/territory level the AIHW must have the relevant state or territory department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data to the AIHW approximately three months after the reference period. Data are published within 12 months following the close of the reference period.</w:t>
            </w:r>
          </w:p>
          <w:p>
            <w:pPr>
              <w:spacing w:after="160"/>
            </w:pPr>
            <w:r>
              <w:rPr>
                <w:rStyle w:val="row-content-rich-text"/>
                <w:b/>
              </w:rPr>
              <w:t xml:space="preserve">Reference period</w:t>
            </w:r>
          </w:p>
          <w:p>
            <w:pPr/>
            <w:r>
              <w:rPr>
                <w:rStyle w:val="row-content-rich-text"/>
              </w:rPr>
              <w:t xml:space="preserve">The reference period is 1 July 2021 to 30 June 2022. Seclusion data are available from 2008–09 to 2021–22. Restraint data are available from 2015–16 to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as part of AIHW’s </w:t>
            </w:r>
            <w:r>
              <w:rPr>
                <w:rStyle w:val="row-content-rich-text"/>
                <w:i/>
              </w:rPr>
              <w:t xml:space="preserve">Mental Health Online Report</w:t>
            </w:r>
            <w:r>
              <w:rPr>
                <w:rStyle w:val="row-content-rich-text"/>
              </w:rPr>
              <w:t xml:space="preserve"> (</w:t>
            </w:r>
            <w:hyperlink w:history="true" r:id="Rd5e8bc7b767740ba">
              <w:r>
                <w:rPr>
                  <w:rStyle w:val="Hyperlink"/>
                </w:rPr>
                <w:t xml:space="preserve">https://www.aihw.gov.au/mental-health/topic-areas/seclusion-and-restraint</w:t>
              </w:r>
            </w:hyperlink>
            <w:r>
              <w:rPr>
                <w:rStyle w:val="row-content-rich-text"/>
              </w:rPr>
              <w:t xml:space="preserve">).</w:t>
            </w:r>
          </w:p>
          <w:p>
            <w:pPr/>
            <w:r>
              <w:rPr>
                <w:rStyle w:val="row-content-rich-text"/>
              </w:rPr>
              <w:t xml:space="preserve">The AIHW produces the </w:t>
            </w:r>
            <w:r>
              <w:rPr>
                <w:rStyle w:val="row-content-rich-text"/>
                <w:i/>
              </w:rPr>
              <w:t xml:space="preserve">Mental Health Online Report</w:t>
            </w:r>
            <w:r>
              <w:rPr>
                <w:rStyle w:val="row-content-rich-text"/>
              </w:rPr>
              <w:t xml:space="preserve"> at </w:t>
            </w:r>
            <w:hyperlink w:history="true" r:id="Raeb2a2e784304340">
              <w:r>
                <w:rPr>
                  <w:rStyle w:val="Hyperlink"/>
                </w:rPr>
                <w:t xml:space="preserve">https://www.aihw.gov.au/mental-health</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Online Report</w:t>
            </w:r>
            <w:r>
              <w:rPr>
                <w:rStyle w:val="row-content-rich-text"/>
              </w:rPr>
              <w:t xml:space="preserve"> (</w:t>
            </w:r>
            <w:hyperlink w:history="true" r:id="R594101da9e024906">
              <w:r>
                <w:rPr>
                  <w:rStyle w:val="Hyperlink"/>
                </w:rPr>
                <w:t xml:space="preserve">https://www.aihw.gov.au/mental-health/topic-areas/seclusion-and-restraint</w:t>
              </w:r>
            </w:hyperlink>
            <w:r>
              <w:rPr>
                <w:rStyle w:val="row-content-rich-text"/>
              </w:rPr>
              <w:t xml:space="preserve">).  </w:t>
            </w:r>
          </w:p>
          <w:p>
            <w:pPr/>
            <w:r>
              <w:rPr>
                <w:rStyle w:val="row-content-rich-text"/>
              </w:rPr>
              <w:t xml:space="preserve">Data published annually as part of the </w:t>
            </w:r>
            <w:r>
              <w:rPr>
                <w:rStyle w:val="row-content-rich-text"/>
                <w:i/>
              </w:rPr>
              <w:t xml:space="preserve">Mental Health Online Report</w:t>
            </w:r>
            <w:r>
              <w:rPr>
                <w:rStyle w:val="row-content-rich-text"/>
                <w:i/>
              </w:rPr>
              <w:t xml:space="preserve">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the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p>
          <w:p>
            <w:pPr>
              <w:spacing w:after="160"/>
            </w:pPr>
            <w:r>
              <w:rPr>
                <w:rStyle w:val="row-content-rich-text"/>
              </w:rPr>
              <w:t xml:space="preserve">Seclusion is the confinement of a person at any time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Seclusion duration was captured for the first time for the 2013–14 collection period and for subsequent years, enabling the calculation of the average time (hours) spent in seclusion. Seclusion events which occurred in forensic services between 2008–09 and 2013–14 were substantially longer in duration compared to seclusion events in other service types. Therefore, seclusion events in forensic services are excluded from average time in seclusion calculations, to provide a more realistic estimation of seclusion duration for the majority of seclusion events.</w:t>
            </w:r>
          </w:p>
          <w:p>
            <w:pPr>
              <w:spacing w:after="160"/>
            </w:pPr>
            <w:r>
              <w:rPr>
                <w:rStyle w:val="row-content-rich-text"/>
              </w:rPr>
              <w:t xml:space="preserve">Number of episodes with seclusion was also added for the first time for the 2013–14 collection period and for subsequent years, enabling the calculation of the average number of seclusion events per episode of care with seclusion.</w:t>
            </w:r>
          </w:p>
          <w:p>
            <w:pPr>
              <w:spacing w:after="160"/>
            </w:pPr>
            <w:r>
              <w:rPr>
                <w:rStyle w:val="row-content-rich-text"/>
              </w:rPr>
              <w:t xml:space="preserve">Restraint is defined as the restriction of a person's freedom of movement by physical or mechanical means. Physical restraint is the application by health care staff of hands-on immobilisation or the physical restriction of a person. Mechanical restraint is the application of devices on a person’s body to restrict his or her movement (for example, using devices such as belts, or straps).</w:t>
            </w:r>
          </w:p>
          <w:p>
            <w:pPr>
              <w:spacing w:after="160"/>
            </w:pPr>
            <w:r>
              <w:rPr>
                <w:rStyle w:val="row-content-rich-text"/>
              </w:rPr>
              <w:t xml:space="preserve">The database includes data on both physical and mechanical restraint. Unspecified restraint was previously reported to represent combined restraint or when data providers were unable to specify the form of restraint; this was removed as a restraint type from 2016–17 and is no longer reported. While chemical/pharmacological restraint is defined in some jurisdictional Mental Health Acts, nationally comparable data is not available at this time for this category of restraint. Therefore, chemical/pharmacological restraint is out of scope for the database.</w:t>
            </w:r>
          </w:p>
          <w:p>
            <w:pPr>
              <w:spacing w:after="160"/>
            </w:pPr>
            <w:r>
              <w:rPr>
                <w:rStyle w:val="row-content-rich-text"/>
                <w:b/>
              </w:rPr>
              <w:t xml:space="preserve">Scope and coverage</w:t>
            </w:r>
          </w:p>
          <w:p>
            <w:pPr>
              <w:spacing w:after="160"/>
            </w:pPr>
            <w:r>
              <w:rPr>
                <w:rStyle w:val="row-content-rich-text"/>
              </w:rPr>
              <w:t xml:space="preserve">The scope of the National Seclusion and Restraint Database is all specialised mental health public hospital acute service units. In scope services include short stay specialised mental units (for example, Psychiatric Emergency Care Centres) and specialised mental health acute forensic hospital services—regardless of which government department manages the service (for example, these services are in scope whether managed by a health department or a correctional services department). Wards or units other than acute specialised mental health services, such as emergency departments, are out of scope for this data collection.</w:t>
            </w:r>
          </w:p>
          <w:p>
            <w:pPr>
              <w:spacing w:after="160"/>
            </w:pPr>
            <w:r>
              <w:rPr>
                <w:rStyle w:val="row-content-rich-text"/>
              </w:rPr>
              <w:t xml:space="preserve">The estimated acute bed coverage for 2021–22 seclusion data was complete coverage based on acute beds in admitted units reported to the Mental Health Establishments National Minimum Data Set (MHE NMDS) in 2020–21.</w:t>
            </w:r>
          </w:p>
          <w:p>
            <w:pPr/>
            <w:r>
              <w:rPr>
                <w:rStyle w:val="row-content-rich-text"/>
              </w:rPr>
              <w:t xml:space="preserve">The data collection does not include information on Aboriginal and/or Torres Strait Islander identification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seclusion and restraint data supplied to the AIHW. The AIHW undertakes a series of validation checks after files are submitted for review. Validation is conducted in two stages:</w:t>
            </w:r>
          </w:p>
          <w:p>
            <w:pPr>
              <w:spacing w:after="160"/>
            </w:pPr>
            <w:r>
              <w:rPr>
                <w:rStyle w:val="row-content-rich-text"/>
              </w:rPr>
              <w:t xml:space="preserve">1.     The compliance stage is managed by the AIHW and is concerned with ensuring that the file is structurally compliant.</w:t>
            </w:r>
          </w:p>
          <w:p>
            <w:pPr>
              <w:spacing w:after="160"/>
            </w:pPr>
            <w:r>
              <w:rPr>
                <w:rStyle w:val="row-content-rich-text"/>
              </w:rPr>
              <w:t xml:space="preserve">2.     The data validation stage is managed by the AIHW and is primarily concerned with identifying inconsistent, anomalous, and exceptional issues, including invalid values, missing data and historical inconsistency. Any missing or unusual data is clarified with the supplying jurisdiction. </w:t>
            </w:r>
          </w:p>
          <w:p>
            <w:pPr>
              <w:spacing w:after="160"/>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p>
            <w:pPr>
              <w:spacing w:after="160"/>
            </w:pPr>
            <w:r>
              <w:rPr>
                <w:rStyle w:val="row-content-rich-text"/>
              </w:rPr>
              <w:t xml:space="preserve">If required, states and territories may re-supply historical data. Updated data are reported in the next annual publication. </w:t>
            </w:r>
          </w:p>
          <w:p>
            <w:pPr>
              <w:spacing w:after="160"/>
            </w:pPr>
            <w:r>
              <w:rPr>
                <w:rStyle w:val="row-content-rich-text"/>
              </w:rPr>
              <w:t xml:space="preserve">Information about the accuracy of state and territory data is listed below. ‘General’ points can be applied to all or most data from the specified jurisdiction. ‘Historical’ points apply to a specific year or years. </w:t>
            </w:r>
          </w:p>
          <w:p>
            <w:pPr>
              <w:spacing w:after="160"/>
            </w:pPr>
            <w:r>
              <w:rPr>
                <w:rStyle w:val="row-content-rich-text"/>
                <w:b/>
              </w:rPr>
              <w:t xml:space="preserve">General</w:t>
            </w:r>
          </w:p>
          <w:p>
            <w:pPr>
              <w:pStyle w:val="ListParagraph"/>
              <w:numPr>
                <w:ilvl w:val="0"/>
                <w:numId w:val="3"/>
              </w:numPr>
            </w:pPr>
            <w:r>
              <w:rPr>
                <w:rStyle w:val="row-content-rich-text"/>
              </w:rPr>
              <w:t xml:space="preserve">New South Wales - The proportion of episodes with a seclusion event may be slightly underestimated in facilities which have more than one acute mental health unit: if a person experiences care in more than one unit this will count towards the denominator for calculation of the facility-level seclusion rate.</w:t>
            </w:r>
          </w:p>
          <w:p>
            <w:pPr>
              <w:pStyle w:val="ListParagraph"/>
              <w:numPr>
                <w:ilvl w:val="0"/>
                <w:numId w:val="3"/>
              </w:numPr>
            </w:pPr>
            <w:r>
              <w:rPr>
                <w:rStyle w:val="row-content-rich-text"/>
              </w:rPr>
              <w:t xml:space="preserve">Queensland - A single episode may be counted multiple times if it aligns to different target populations. This occurs with &lt;1% of episodes of care.</w:t>
            </w:r>
          </w:p>
          <w:p>
            <w:pPr>
              <w:pStyle w:val="ListParagraph"/>
              <w:numPr>
                <w:ilvl w:val="0"/>
                <w:numId w:val="3"/>
              </w:numPr>
            </w:pPr>
            <w:r>
              <w:rPr>
                <w:rStyle w:val="row-content-rich-text"/>
              </w:rPr>
              <w:t xml:space="preserve">South Australia - The number of episodes of care used to derive the proportion of mental-health related admitted care episodes that have a seclusion event and the average number of seclusion events per episode with seclusion are likely to be underestimated for SA.</w:t>
            </w:r>
          </w:p>
          <w:p>
            <w:pPr>
              <w:pStyle w:val="ListParagraph"/>
              <w:numPr>
                <w:ilvl w:val="0"/>
                <w:numId w:val="3"/>
              </w:numPr>
            </w:pPr>
            <w:r>
              <w:rPr>
                <w:rStyle w:val="row-content-rich-text"/>
              </w:rPr>
              <w:t xml:space="preserve">Australian Capital Territory - One service unit has been classified as forensic for consistency with the Mental Health Establishments National Minimum Dataset; however, this service may have a mix of general and forensic consumers and the ACT is unable to distinguish between different target populations within the same unit.</w:t>
            </w:r>
          </w:p>
          <w:p>
            <w:pPr>
              <w:spacing w:after="160"/>
            </w:pPr>
            <w:r>
              <w:rPr>
                <w:rStyle w:val="row-content-rich-text"/>
                <w:b/>
              </w:rPr>
              <w:t xml:space="preserve">Historical</w:t>
            </w:r>
          </w:p>
          <w:p>
            <w:pPr>
              <w:pStyle w:val="ListParagraph"/>
              <w:numPr>
                <w:ilvl w:val="0"/>
                <w:numId w:val="4"/>
              </w:numPr>
            </w:pPr>
            <w:r>
              <w:rPr>
                <w:rStyle w:val="row-content-rich-text"/>
              </w:rPr>
              <w:t xml:space="preserve">2015–16, Queensland - Patients were statistically discharged and re-admitted if their episode of care had begun in 2014–15 and had not been completed by 1 July 2015. This has added approximately 750 episodes to the number of episodes of care reported for the state. </w:t>
            </w:r>
          </w:p>
          <w:p>
            <w:pPr>
              <w:pStyle w:val="ListParagraph"/>
              <w:numPr>
                <w:ilvl w:val="0"/>
                <w:numId w:val="4"/>
              </w:numPr>
            </w:pPr>
            <w:r>
              <w:rPr>
                <w:rStyle w:val="row-content-rich-text"/>
              </w:rPr>
              <w:t xml:space="preserve">2015 onwards, Western Australia - Prior to 2015,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pStyle w:val="ListParagraph"/>
              <w:numPr>
                <w:ilvl w:val="0"/>
                <w:numId w:val="4"/>
              </w:numPr>
            </w:pPr>
            <w:r>
              <w:rPr>
                <w:rStyle w:val="row-content-rich-text"/>
              </w:rPr>
              <w:t xml:space="preserve">2018–19, Western Australia - Some services in WA had no data available and are therefore not included in the 2018–19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relates to the 2021–22 reference period. Users comparing data between reference periods are advised to read the coherence section of the data quality statements for all intervening reference periods to gain a full understanding of potential quality issues.</w:t>
            </w:r>
          </w:p>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mental health services are required to maintain local seclusion and restraint registers, which are audited regularly by NSW Official Visitors. Seclusion and restraint data are aggregated for each unit and reported regularly to NSW Health. NSW does not currently have a state level collection of unit record data on individual seclusion and restraint episodes. Seclusion rates are a Key Performance Indicator (KPI) in regular performance reporting to NSW Local Health Districts (LHD) and published quarterly by the NSW Bureau of Health Information.</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appear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specialised mental health units with a general target population.</w:t>
            </w:r>
          </w:p>
          <w:p>
            <w:pPr>
              <w:spacing w:after="160"/>
            </w:pPr>
            <w:r>
              <w:rPr>
                <w:rStyle w:val="row-content-rich-text"/>
              </w:rPr>
              <w:t xml:space="preserve">The </w:t>
            </w:r>
            <w:hyperlink w:history="true" r:id="R27e1f7fc0e28499d">
              <w:r>
                <w:rPr>
                  <w:rStyle w:val="Hyperlink"/>
                  <w:i/>
                </w:rPr>
                <w:t xml:space="preserve">Mental Health Act 2016</w:t>
              </w:r>
            </w:hyperlink>
            <w:r>
              <w:rPr>
                <w:rStyle w:val="row-content-rich-text"/>
              </w:rPr>
              <w:t xml:space="preserve"> came into effect in March 2017. To support implementation of the Act, in 2016–17 historical seclusion data was moved to a new structure. A review of the data was performed and corrections were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actual variation in the use of physical restraint.</w:t>
            </w:r>
          </w:p>
          <w:p>
            <w:pPr>
              <w:spacing w:after="160"/>
            </w:pPr>
            <w:r>
              <w:rPr>
                <w:rStyle w:val="row-content-rich-text"/>
              </w:rPr>
              <w:t xml:space="preserve">In 2018–19, Queensland introduced a new methodology to their seclusion and restraint data collection. Historical data from 2014–15 onwards were updated to align with this.</w:t>
            </w:r>
          </w:p>
          <w:p>
            <w:pPr>
              <w:spacing w:after="160"/>
            </w:pPr>
            <w:r>
              <w:rPr>
                <w:rStyle w:val="row-content-rich-text"/>
              </w:rPr>
              <w:t xml:space="preserve">Hospital in the Home services are not included in the Authorised Mental Health Service (AMHS) and are therefore not in scope for seclusion and mechanical restraint calculations. Hospital in the Home services are in scope for physical restraint reporting.</w:t>
            </w:r>
          </w:p>
          <w:p>
            <w:pPr>
              <w:spacing w:after="160"/>
            </w:pPr>
            <w:r>
              <w:rPr>
                <w:rStyle w:val="row-content-rich-text"/>
                <w:b/>
              </w:rPr>
              <w:t xml:space="preserve">Western Australia</w:t>
            </w:r>
          </w:p>
          <w:p>
            <w:pPr>
              <w:spacing w:after="160"/>
            </w:pPr>
            <w:r>
              <w:rPr>
                <w:rStyle w:val="row-content-rich-text"/>
              </w:rPr>
              <w:t xml:space="preserve">There are no known issues with the supplied data.</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data for SA are not included in national totals prior to 2018–19. SA provided seclusion duration data for the first time in 2018–19 and are included in annual national totals from that year onwards. Estimated coverage for duration data for SA:</w:t>
            </w:r>
          </w:p>
          <w:p>
            <w:pPr>
              <w:pStyle w:val="ListParagraph"/>
              <w:numPr>
                <w:ilvl w:val="0"/>
                <w:numId w:val="5"/>
              </w:numPr>
            </w:pPr>
            <w:r>
              <w:rPr>
                <w:rStyle w:val="row-content-rich-text"/>
              </w:rPr>
              <w:t xml:space="preserve">2018–19 approximately 74%</w:t>
            </w:r>
          </w:p>
          <w:p>
            <w:pPr>
              <w:pStyle w:val="ListParagraph"/>
              <w:numPr>
                <w:ilvl w:val="0"/>
                <w:numId w:val="5"/>
              </w:numPr>
            </w:pPr>
            <w:r>
              <w:rPr>
                <w:rStyle w:val="row-content-rich-text"/>
              </w:rPr>
              <w:t xml:space="preserve">2019–20 approximately 72%</w:t>
            </w:r>
          </w:p>
          <w:p>
            <w:pPr>
              <w:pStyle w:val="ListParagraph"/>
              <w:numPr>
                <w:ilvl w:val="0"/>
                <w:numId w:val="5"/>
              </w:numPr>
            </w:pPr>
            <w:r>
              <w:rPr>
                <w:rStyle w:val="row-content-rich-text"/>
              </w:rPr>
              <w:t xml:space="preserve">2020–21 approximately 84%</w:t>
            </w:r>
          </w:p>
          <w:p>
            <w:pPr>
              <w:pStyle w:val="ListParagraph"/>
              <w:numPr>
                <w:ilvl w:val="0"/>
                <w:numId w:val="5"/>
              </w:numPr>
            </w:pPr>
            <w:r>
              <w:rPr>
                <w:rStyle w:val="row-content-rich-text"/>
              </w:rPr>
              <w:t xml:space="preserve">2021–22 approximately 79%.</w:t>
            </w:r>
          </w:p>
          <w:p>
            <w:pPr>
              <w:spacing w:after="160"/>
            </w:pPr>
            <w:r>
              <w:rPr>
                <w:rStyle w:val="row-content-rich-text"/>
              </w:rPr>
              <w:t xml:space="preserve">A number of services closed or transitioned to new services in 2017-18 and 2018–19, therefore comparisons between years should be made with caution, particularly when interpreting hospital level data. </w:t>
            </w:r>
          </w:p>
          <w:p>
            <w:pPr>
              <w:spacing w:after="160"/>
            </w:pPr>
            <w:r>
              <w:rPr>
                <w:rStyle w:val="row-content-rich-text"/>
              </w:rPr>
              <w:t xml:space="preserve">Improvements to reporting were implemented during 2020–21. The Office of the Chief Psychiatrist released a standard regarding the use of seclusion and restraint in February 2021, to be implemented from July 2021. Any observed increases in seclusion and restraint for 2020–21 could be the result of this improved reporting. SA will investigate to determine if such increases reflect service activity or improved data collection.</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was unable to segregate forensic inpatient episodes and events from general events prior to 2020–21. Therefore, all historical NT totals, wherever stated, are comprised of both general and forensic inpatient episodes and events. As this may have artificially inflated NT data, caution should be used when comparing or interpreting this data over time or in comparison to other jurisdictions. In particular, data reporting the average duration of a seclusion event will be impacted by this issue.</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This applies to the NT, which has a low number of specialised mental health beds. Comparisons over time should be made with caution.</w:t>
            </w:r>
          </w:p>
          <w:p>
            <w:pPr>
              <w:spacing w:after="160"/>
            </w:pPr>
            <w:r>
              <w:rPr>
                <w:rStyle w:val="row-content-rich-text"/>
              </w:rPr>
              <w:t xml:space="preserve">Additionally, due to the low ratio of beds per person in the NT compared with other jurisdictions, the apparent rate of seclusion and restraint is inflated when reporting events per patient day compared with reporting on a population basis.  NT seclusion and restraint data is therefore not directly comparable with other jurisdictions.</w:t>
            </w:r>
          </w:p>
          <w:p>
            <w:pPr>
              <w:spacing w:after="160"/>
            </w:pPr>
            <w:r>
              <w:rPr>
                <w:rStyle w:val="row-content-rich-text"/>
              </w:rPr>
              <w:t xml:space="preserve">An increase in the physical restraint rate for NT in 2020–21 can be attributed to an increase in the number of admissions with high acuity.</w:t>
            </w:r>
          </w:p>
          <w:p>
            <w:pPr>
              <w:spacing w:after="160"/>
            </w:pPr>
            <w:r>
              <w:rPr>
                <w:rStyle w:val="row-content-rich-text"/>
                <w:b/>
              </w:rPr>
              <w:t xml:space="preserve">Australian Capital Territory</w:t>
            </w:r>
          </w:p>
          <w:p>
            <w:pPr>
              <w:spacing w:after="160"/>
            </w:pPr>
            <w:r>
              <w:rPr>
                <w:rStyle w:val="row-content-rich-text"/>
              </w:rPr>
              <w:t xml:space="preserve">In 2018–19 ACT changed its methodology for counting episodes and patient days to better align with definitions outlined in the SECREST NBEDS 2015–. Comparisons over time should be made with caution.</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 This methodology was also used for 2019–20 data.</w:t>
            </w:r>
          </w:p>
          <w:p>
            <w:pPr>
              <w:spacing w:after="160"/>
            </w:pPr>
            <w:r>
              <w:rPr>
                <w:rStyle w:val="row-content-rich-text"/>
              </w:rPr>
              <w:t xml:space="preserve">The ACT provides acute inpatient forensic services from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data reported for general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ed7f7787684d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e3f23480c24aae">
              <w:r>
                <w:rPr>
                  <w:rStyle w:val="Hyperlink"/>
                </w:rPr>
                <w:t xml:space="preserve">Mental health seclusion and restraint NBEDS 2015–: National seclusion and restraint database, 2021; Quality Statement</w:t>
              </w:r>
            </w:hyperlink>
          </w:p>
          <w:p>
            <w:pPr>
              <w:spacing w:before="0" w:after="0"/>
            </w:pPr>
            <w:r>
              <w:rPr>
                <w:rStyle w:val="row-content"/>
                <w:color w:val="244061"/>
              </w:rPr>
              <w:t xml:space="preserve">       </w:t>
            </w:r>
            <w:hyperlink w:history="true" r:id="R9bd0003ba60a4429">
              <w:r>
                <w:rPr>
                  <w:rStyle w:val="Hyperlink"/>
                  <w:color w:val="244061"/>
                </w:rPr>
                <w:t xml:space="preserve">AIHW Data Quality Statements</w:t>
              </w:r>
            </w:hyperlink>
            <w:r>
              <w:rPr>
                <w:rStyle w:val="row-content"/>
                <w:color w:val="244061"/>
              </w:rPr>
              <w:t xml:space="preserve">, Standard 17/05/2022</w:t>
            </w:r>
          </w:p>
          <w:p>
            <w:r>
              <w:br/>
            </w:r>
            <w:r>
              <w:rPr>
                <w:rStyle w:val="row-content"/>
              </w:rPr>
              <w:t xml:space="preserve">See also </w:t>
            </w:r>
            <w:hyperlink w:history="true" r:id="R1bdb8b3460754423">
              <w:r>
                <w:rPr>
                  <w:rStyle w:val="Hyperlink"/>
                </w:rPr>
                <w:t xml:space="preserve">Mental health seclusion and restraint NBEDS 2015-</w:t>
              </w:r>
            </w:hyperlink>
          </w:p>
          <w:p>
            <w:pPr>
              <w:spacing w:before="0" w:after="0"/>
            </w:pPr>
            <w:r>
              <w:rPr>
                <w:rStyle w:val="row-content"/>
                <w:color w:val="244061"/>
              </w:rPr>
              <w:t xml:space="preserve">       </w:t>
            </w:r>
            <w:hyperlink w:history="true" r:id="R1fe2f85b472e4be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ea5d7019eaf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16aba03ae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5d7019eaf4f5b" /><Relationship Type="http://schemas.openxmlformats.org/officeDocument/2006/relationships/header" Target="/word/header1.xml" Id="R3f1a4985c3144305" /><Relationship Type="http://schemas.openxmlformats.org/officeDocument/2006/relationships/settings" Target="/word/settings.xml" Id="R87a5c53f0e894950" /><Relationship Type="http://schemas.openxmlformats.org/officeDocument/2006/relationships/styles" Target="/word/styles.xml" Id="Rd0d6306ca2e64a60" /><Relationship Type="http://schemas.openxmlformats.org/officeDocument/2006/relationships/hyperlink" Target="https://meteor.aihw.gov.au/RegistrationAuthority/5" TargetMode="External" Id="Rd5341563204d4c3b" /><Relationship Type="http://schemas.openxmlformats.org/officeDocument/2006/relationships/numbering" Target="/word/numbering.xml" Id="R3198e321e89e409c" /><Relationship Type="http://schemas.openxmlformats.org/officeDocument/2006/relationships/hyperlink" Target="https://www.legislation.gov.au/Series/C2004A03450" TargetMode="External" Id="R8f9d5848a57345ea" /><Relationship Type="http://schemas.openxmlformats.org/officeDocument/2006/relationships/hyperlink" Target="https://www.legislation.gov.au/Series/C2004A03712" TargetMode="External" Id="R649149ab280d427b" /><Relationship Type="http://schemas.openxmlformats.org/officeDocument/2006/relationships/hyperlink" Target="https://www.aihw.gov.au/about-us" TargetMode="External" Id="Raa3e4721a1d04008" /><Relationship Type="http://schemas.openxmlformats.org/officeDocument/2006/relationships/hyperlink" Target="https://www.aihw.gov.au/about-us/our-governance" TargetMode="External" Id="R156c29b9f1664b3d" /><Relationship Type="http://schemas.openxmlformats.org/officeDocument/2006/relationships/hyperlink" Target="https://www.aihw.gov.au/about-us/what-we-do" TargetMode="External" Id="R0155aec9cbcd4342" /><Relationship Type="http://schemas.openxmlformats.org/officeDocument/2006/relationships/hyperlink" Target="https://www.aihw.gov.au/mental-health/topic-areas/seclusion-and-restraint" TargetMode="External" Id="Rd5e8bc7b767740ba" /><Relationship Type="http://schemas.openxmlformats.org/officeDocument/2006/relationships/hyperlink" Target="https://www.aihw.gov.au/mental-health" TargetMode="External" Id="Raeb2a2e784304340" /><Relationship Type="http://schemas.openxmlformats.org/officeDocument/2006/relationships/hyperlink" Target="https://www.aihw.gov.au/mental-health/topic-areas/seclusion-and-restraint" TargetMode="External" Id="R594101da9e024906" /><Relationship Type="http://schemas.openxmlformats.org/officeDocument/2006/relationships/hyperlink" Target="https://www.legislation.qld.gov.au/view/pdf/asmade/act-2016-005" TargetMode="External" Id="R27e1f7fc0e28499d" /><Relationship Type="http://schemas.openxmlformats.org/officeDocument/2006/relationships/hyperlink" Target="https://meteor.aihw.gov.au/content/246013" TargetMode="External" Id="R52ed7f7787684d2b" /><Relationship Type="http://schemas.openxmlformats.org/officeDocument/2006/relationships/hyperlink" Target="https://meteor.aihw.gov.au/content/755198" TargetMode="External" Id="Rc1e3f23480c24aae" /><Relationship Type="http://schemas.openxmlformats.org/officeDocument/2006/relationships/hyperlink" Target="https://meteor.aihw.gov.au/RegistrationAuthority/5" TargetMode="External" Id="R9bd0003ba60a4429" /><Relationship Type="http://schemas.openxmlformats.org/officeDocument/2006/relationships/hyperlink" Target="https://meteor.aihw.gov.au/content/558137" TargetMode="External" Id="R1bdb8b3460754423" /><Relationship Type="http://schemas.openxmlformats.org/officeDocument/2006/relationships/hyperlink" Target="https://meteor.aihw.gov.au/RegistrationAuthority/12" TargetMode="External" Id="R1fe2f85b472e4be5" /></Relationships>
</file>

<file path=word/_rels/header1.xml.rels>&#65279;<?xml version="1.0" encoding="utf-8"?><Relationships xmlns="http://schemas.openxmlformats.org/package/2006/relationships"><Relationship Type="http://schemas.openxmlformats.org/officeDocument/2006/relationships/image" Target="/media/image.png" Id="R24e16aba03ae4f31" /></Relationships>
</file>