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ae708c76e548ee" /></Relationships>
</file>

<file path=word/document.xml><?xml version="1.0" encoding="utf-8"?>
<w:document xmlns:r="http://schemas.openxmlformats.org/officeDocument/2006/relationships" xmlns:w="http://schemas.openxmlformats.org/wordprocessingml/2006/main">
  <w:body>
    <w:p>
      <w:pPr>
        <w:pStyle w:val="Title"/>
      </w:pPr>
      <w:r>
        <w:t>Person—accommodation type, usual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usual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Usual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3d194ba304a2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setting in which a person usually lives/lived,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68e59105ea43e6">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33159c83b24122">
              <w:r>
                <w:rPr>
                  <w:rStyle w:val="Hyperlink"/>
                </w:rPr>
                <w:t xml:space="preserve">Usual accommodation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specialised/supported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community or settlement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Boarding house, hostel or similar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Crisis or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This code applies to people living a house, apartment or other dwelling with private facilities.</w:t>
            </w:r>
          </w:p>
          <w:p>
            <w:pPr>
              <w:spacing w:after="160"/>
            </w:pPr>
            <w:r>
              <w:rPr>
                <w:rStyle w:val="row-content-rich-text"/>
              </w:rPr>
              <w:t xml:space="preserve">CODE 2     Residential aged care service</w:t>
            </w:r>
          </w:p>
          <w:p>
            <w:pPr>
              <w:spacing w:after="160"/>
            </w:pPr>
            <w:r>
              <w:rPr>
                <w:rStyle w:val="row-content-rich-text"/>
              </w:rPr>
              <w:t xml:space="preserve">This code applies to people living in a residential aged care facility (also known as nursing or aged care homes). This does not include people who use residential aged care on a respite basis and maintain a usual living arrangement elsewhere).</w:t>
            </w:r>
          </w:p>
          <w:p>
            <w:pPr>
              <w:spacing w:after="160"/>
            </w:pPr>
            <w:r>
              <w:rPr>
                <w:rStyle w:val="row-content-rich-text"/>
              </w:rPr>
              <w:t xml:space="preserve">CODE 3     Independent living within a retirement village</w:t>
            </w:r>
          </w:p>
          <w:p>
            <w:pPr>
              <w:spacing w:after="160"/>
            </w:pPr>
            <w:r>
              <w:rPr>
                <w:rStyle w:val="row-content-rich-text"/>
              </w:rPr>
              <w:t xml:space="preserve">This code applies to people living in a self-care living unit within a retirement village (irrespective of the type of tenure held over the residence). Independent living within retirement villages is generally for people who are independent and able to care for themselves.</w:t>
            </w:r>
          </w:p>
          <w:p>
            <w:pPr>
              <w:spacing w:after="160"/>
            </w:pPr>
            <w:r>
              <w:rPr>
                <w:rStyle w:val="row-content-rich-text"/>
              </w:rPr>
              <w:t xml:space="preserve">CODE 4     Other specialised/supported accommodation</w:t>
            </w:r>
          </w:p>
          <w:p>
            <w:pPr>
              <w:spacing w:after="160"/>
            </w:pPr>
            <w:r>
              <w:rPr>
                <w:rStyle w:val="row-content-rich-text"/>
              </w:rPr>
              <w:t xml:space="preserve">This code applies to people living in settings where care is provided by staff on a live in or rostered basis, excluding residential aged care. It can consist of:</w:t>
            </w:r>
          </w:p>
          <w:p>
            <w:pPr>
              <w:pStyle w:val="ListParagraph"/>
              <w:numPr>
                <w:ilvl w:val="0"/>
                <w:numId w:val="2"/>
              </w:numPr>
            </w:pPr>
            <w:r>
              <w:rPr>
                <w:rStyle w:val="row-content-rich-text"/>
              </w:rPr>
              <w:t xml:space="preserve">supported living within a retirement village</w:t>
            </w:r>
          </w:p>
          <w:p>
            <w:pPr>
              <w:pStyle w:val="ListParagraph"/>
              <w:numPr>
                <w:ilvl w:val="0"/>
                <w:numId w:val="2"/>
              </w:numPr>
            </w:pPr>
            <w:r>
              <w:rPr>
                <w:rStyle w:val="row-content-rich-text"/>
              </w:rPr>
              <w:t xml:space="preserve">disability support or disability supported accommodation, such as group homes for people with disability or Specialist Disability Accommodation</w:t>
            </w:r>
          </w:p>
          <w:p>
            <w:pPr>
              <w:pStyle w:val="ListParagraph"/>
              <w:numPr>
                <w:ilvl w:val="0"/>
                <w:numId w:val="2"/>
              </w:numPr>
            </w:pPr>
            <w:r>
              <w:rPr>
                <w:rStyle w:val="row-content-rich-text"/>
              </w:rPr>
              <w:t xml:space="preserve">alcohol/other drug treatment units in psychiatric hospitals</w:t>
            </w:r>
          </w:p>
          <w:p>
            <w:pPr>
              <w:pStyle w:val="ListParagraph"/>
              <w:numPr>
                <w:ilvl w:val="0"/>
                <w:numId w:val="2"/>
              </w:numPr>
            </w:pPr>
            <w:r>
              <w:rPr>
                <w:rStyle w:val="row-content-rich-text"/>
              </w:rPr>
              <w:t xml:space="preserve">mental health units and forensic health units of corrective services systems</w:t>
            </w:r>
          </w:p>
          <w:p>
            <w:pPr>
              <w:pStyle w:val="ListParagraph"/>
              <w:numPr>
                <w:ilvl w:val="0"/>
                <w:numId w:val="2"/>
              </w:numPr>
            </w:pPr>
            <w:r>
              <w:rPr>
                <w:rStyle w:val="row-content-rich-text"/>
              </w:rPr>
              <w:t xml:space="preserve">specialised mental health community-based residential support services</w:t>
            </w:r>
          </w:p>
          <w:p>
            <w:pPr>
              <w:pStyle w:val="ListParagraph"/>
              <w:numPr>
                <w:ilvl w:val="0"/>
                <w:numId w:val="2"/>
              </w:numPr>
            </w:pPr>
            <w:r>
              <w:rPr>
                <w:rStyle w:val="row-content-rich-text"/>
              </w:rPr>
              <w:t xml:space="preserve">specialised dementia care units (SDCUs)</w:t>
            </w:r>
          </w:p>
          <w:p>
            <w:pPr>
              <w:pStyle w:val="ListParagraph"/>
              <w:numPr>
                <w:ilvl w:val="0"/>
                <w:numId w:val="2"/>
              </w:numPr>
            </w:pPr>
            <w:r>
              <w:rPr>
                <w:rStyle w:val="row-content-rich-text"/>
              </w:rPr>
              <w:t xml:space="preserve">other specialised rehabilitation or institutional settings</w:t>
            </w:r>
          </w:p>
          <w:p>
            <w:pPr>
              <w:spacing w:after="160"/>
            </w:pPr>
            <w:r>
              <w:rPr>
                <w:rStyle w:val="row-content-rich-text"/>
              </w:rPr>
              <w:t xml:space="preserve">CODE 5     Indigenous community or settlement</w:t>
            </w:r>
          </w:p>
          <w:p>
            <w:pPr>
              <w:spacing w:after="160"/>
            </w:pPr>
            <w:r>
              <w:rPr>
                <w:rStyle w:val="row-content-rich-text"/>
              </w:rPr>
              <w:t xml:space="preserve">This code applies to people who usually reside within an Aboriginal/Torres Strait Islander community or settlement. This can include any type of residence within those communities.</w:t>
            </w:r>
          </w:p>
          <w:p>
            <w:pPr>
              <w:spacing w:after="160"/>
            </w:pPr>
            <w:r>
              <w:rPr>
                <w:rStyle w:val="row-content-rich-text"/>
              </w:rPr>
              <w:t xml:space="preserve">CODE 6     Boarding house, hostel or similar accommodation</w:t>
            </w:r>
          </w:p>
          <w:p>
            <w:pPr>
              <w:spacing w:after="160"/>
            </w:pPr>
            <w:r>
              <w:rPr>
                <w:rStyle w:val="row-content-rich-text"/>
              </w:rPr>
              <w:t xml:space="preserve">This code applies to people who usually reside in buildings or rooms for lodging, generally consisting of a bedroom that is not self-contained, and usually shares a common kitchen and/or bathroom. Boarding house bedrooms are usually accessed via a common entrance such as a foyer or hallway. Some nursing homes have historically been known as hostels; these are included under residential aged care.</w:t>
            </w:r>
          </w:p>
          <w:p>
            <w:pPr>
              <w:spacing w:after="160"/>
            </w:pPr>
            <w:r>
              <w:rPr>
                <w:rStyle w:val="row-content-rich-text"/>
              </w:rPr>
              <w:t xml:space="preserve">CODE 7     Crisis or transitional housing</w:t>
            </w:r>
          </w:p>
          <w:p>
            <w:pPr>
              <w:spacing w:after="160"/>
            </w:pPr>
            <w:r>
              <w:rPr>
                <w:rStyle w:val="row-content-rich-text"/>
              </w:rPr>
              <w:t xml:space="preserve">This code applies to people living in short-term or temporary accommodation. It includes crisis, emergency and transitional housing such as night shelters, women’s refuges and other agency-led temporary arrangements for accommodation. Accommodation may be linked to external support through another agency.</w:t>
            </w:r>
          </w:p>
          <w:p>
            <w:pPr>
              <w:spacing w:after="160"/>
            </w:pPr>
            <w:r>
              <w:rPr>
                <w:rStyle w:val="row-content-rich-text"/>
              </w:rPr>
              <w:t xml:space="preserve">CODE 8     Public place</w:t>
            </w:r>
          </w:p>
          <w:p>
            <w:pPr>
              <w:spacing w:after="160"/>
            </w:pPr>
            <w:r>
              <w:rPr>
                <w:rStyle w:val="row-content-rich-text"/>
              </w:rPr>
              <w:t xml:space="preserve">This code applies to people experiencing homelessness. For example, people may be sleeping rough, squatting, in improvised dwellings, using cars or railway carriages or sleeping in parks.</w:t>
            </w:r>
          </w:p>
          <w:p>
            <w:pPr>
              <w:spacing w:after="160"/>
            </w:pPr>
            <w:r>
              <w:rPr>
                <w:rStyle w:val="row-content-rich-text"/>
              </w:rPr>
              <w:t xml:space="preserve">CODE 20     Other</w:t>
            </w:r>
          </w:p>
          <w:p>
            <w:pPr>
              <w:spacing w:after="160"/>
            </w:pPr>
            <w:r>
              <w:rPr>
                <w:rStyle w:val="row-content-rich-text"/>
              </w:rPr>
              <w:t xml:space="preserve">This code applies to people living in an accommodation setting not specified above. For example, this can include people living in an adult correctional facility, prison or immigration detention centre.</w:t>
            </w:r>
          </w:p>
          <w:p>
            <w:pPr>
              <w:spacing w:after="160"/>
            </w:pPr>
            <w:r>
              <w:rPr>
                <w:rStyle w:val="row-content-rich-text"/>
              </w:rPr>
              <w:t xml:space="preserve">CODE 97     Not applicable</w:t>
            </w:r>
          </w:p>
          <w:p>
            <w:pPr>
              <w:spacing w:after="160"/>
            </w:pPr>
            <w:r>
              <w:rPr>
                <w:rStyle w:val="row-content-rich-text"/>
              </w:rPr>
              <w:t xml:space="preserve">This code applies where there was no assessment of the person’s accommodation setting.</w:t>
            </w:r>
          </w:p>
          <w:p>
            <w:pPr>
              <w:spacing w:after="160"/>
            </w:pPr>
            <w:r>
              <w:rPr>
                <w:rStyle w:val="row-content-rich-text"/>
              </w:rPr>
              <w:t xml:space="preserve">CODE 98     Unknown/unable to be determined</w:t>
            </w:r>
          </w:p>
          <w:p>
            <w:pPr>
              <w:spacing w:after="160"/>
            </w:pPr>
            <w:r>
              <w:rPr>
                <w:rStyle w:val="row-content-rich-text"/>
              </w:rPr>
              <w:t xml:space="preserve">This code applies where the usual accommodation is unknown or unable to be determined.</w:t>
            </w:r>
          </w:p>
          <w:p>
            <w:pPr>
              <w:spacing w:after="160"/>
            </w:pPr>
            <w:r>
              <w:rPr>
                <w:rStyle w:val="row-content-rich-text"/>
              </w:rPr>
              <w:t xml:space="preserve">CODE 99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for the most amount of time over the past three months prior. For example, 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e8e5256b04c48ac">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w:t>
            </w:r>
            <w:hyperlink w:history="true" r:id="R3019bdf86dd3451f">
              <w:r>
                <w:rPr>
                  <w:rStyle w:val="Hyperlink"/>
                </w:rPr>
                <w:t xml:space="preserve">https://www.health.gov.au/resources/publications/my-aged-care-national-screening-and-assessment-form-user-guide?language=en</w:t>
              </w:r>
            </w:hyperlink>
            <w:r>
              <w:rPr>
                <w:rStyle w:val="row-content-rich-text"/>
              </w:rPr>
              <w:t xml:space="preserve">.</w:t>
            </w:r>
          </w:p>
          <w:p>
            <w:pPr/>
            <w:r>
              <w:rPr>
                <w:rStyle w:val="row-content-rich-text"/>
              </w:rPr>
              <w:t xml:space="preserve">Australian Institute of Health and Welfare (2002) </w:t>
            </w:r>
            <w:hyperlink w:history="true" r:id="R602eb22c05904b3c">
              <w:r>
                <w:rPr>
                  <w:rStyle w:val="Hyperlink"/>
                </w:rPr>
                <w:t xml:space="preserve">Aged care assessment program data dictionary version 1.0</w:t>
              </w:r>
            </w:hyperlink>
            <w:r>
              <w:rPr>
                <w:rStyle w:val="row-content-rich-text"/>
              </w:rPr>
              <w:t xml:space="preserve">, AIHW, Australian Government, accessed 21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c1fe5644174e77">
              <w:r>
                <w:rPr>
                  <w:rStyle w:val="Hyperlink"/>
                </w:rPr>
                <w:t xml:space="preserve">Aged care person cluster</w:t>
              </w:r>
            </w:hyperlink>
          </w:p>
          <w:p>
            <w:pPr>
              <w:pStyle w:val="registration-status"/>
              <w:spacing w:before="0" w:after="0"/>
            </w:pPr>
            <w:hyperlink w:history="true" r:id="R652284ed8adb4521">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c4b1e988c7fe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ea64f2b14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1e988c7fe41db" /><Relationship Type="http://schemas.openxmlformats.org/officeDocument/2006/relationships/header" Target="/word/header1.xml" Id="R527ff0a27bfa40f4" /><Relationship Type="http://schemas.openxmlformats.org/officeDocument/2006/relationships/settings" Target="/word/settings.xml" Id="R006ef6637d974317" /><Relationship Type="http://schemas.openxmlformats.org/officeDocument/2006/relationships/styles" Target="/word/styles.xml" Id="R3496ad99b4784503" /><Relationship Type="http://schemas.openxmlformats.org/officeDocument/2006/relationships/numbering" Target="/word/numbering.xml" Id="R57e776ed2c3c471b" /><Relationship Type="http://schemas.openxmlformats.org/officeDocument/2006/relationships/hyperlink" Target="https://meteor.aihw.gov.au/RegistrationAuthority/19" TargetMode="External" Id="R9fb3d194ba304a2c" /><Relationship Type="http://schemas.openxmlformats.org/officeDocument/2006/relationships/hyperlink" Target="https://meteor.aihw.gov.au/content/269592" TargetMode="External" Id="Rd368e59105ea43e6" /><Relationship Type="http://schemas.openxmlformats.org/officeDocument/2006/relationships/hyperlink" Target="https://meteor.aihw.gov.au/content/775016" TargetMode="External" Id="R4733159c83b24122" /><Relationship Type="http://schemas.openxmlformats.org/officeDocument/2006/relationships/hyperlink" Target="https://www.health.gov.au/resources/publications/my-aged-care-national-screening-and-assessment-form-user-guide?language=en" TargetMode="External" Id="Rbe8e5256b04c48ac" /><Relationship Type="http://schemas.openxmlformats.org/officeDocument/2006/relationships/hyperlink" Target="https://www.health.gov.au/resources/publications/my-aged-care-national-screening-and-assessment-form-user-guide?language=en" TargetMode="External" Id="R3019bdf86dd3451f" /><Relationship Type="http://schemas.openxmlformats.org/officeDocument/2006/relationships/hyperlink" Target="https://www.aihw.gov.au/reports/aged-care/aged-care-assessment-program-data-dictionary-versi" TargetMode="External" Id="R602eb22c05904b3c" /><Relationship Type="http://schemas.openxmlformats.org/officeDocument/2006/relationships/hyperlink" Target="https://meteor.aihw.gov.au/content/777749" TargetMode="External" Id="Rdbc1fe5644174e77" /><Relationship Type="http://schemas.openxmlformats.org/officeDocument/2006/relationships/hyperlink" Target="https://meteor.aihw.gov.au/RegistrationAuthority/19" TargetMode="External" Id="R652284ed8adb4521" /></Relationships>
</file>

<file path=word/_rels/header1.xml.rels>&#65279;<?xml version="1.0" encoding="utf-8"?><Relationships xmlns="http://schemas.openxmlformats.org/package/2006/relationships"><Relationship Type="http://schemas.openxmlformats.org/officeDocument/2006/relationships/image" Target="/media/image.png" Id="Ra2cea64f2b144752" /></Relationships>
</file>