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a4d80274fe4c94" /></Relationships>
</file>

<file path=word/document.xml><?xml version="1.0" encoding="utf-8"?>
<w:document xmlns:r="http://schemas.openxmlformats.org/officeDocument/2006/relationships" xmlns:w="http://schemas.openxmlformats.org/wordprocessingml/2006/main">
  <w:body>
    <w:p>
      <w:pPr>
        <w:pStyle w:val="Title"/>
      </w:pPr>
      <w:r>
        <w:t>Sentinel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Sentinel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76dad3dcf4f02">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sentinel event is an incident that is </w:t>
            </w:r>
            <w:r>
              <w:rPr>
                <w:rStyle w:val="row-content-rich-text"/>
                <w:b/>
              </w:rPr>
              <w:t xml:space="preserve">wholly preventable </w:t>
            </w:r>
            <w:r>
              <w:rPr>
                <w:rStyle w:val="row-content-rich-text"/>
              </w:rPr>
              <w:t xml:space="preserve">and has caused </w:t>
            </w:r>
            <w:r>
              <w:rPr>
                <w:rStyle w:val="row-content-rich-text"/>
                <w:b/>
              </w:rPr>
              <w:t xml:space="preserve">serious harm</w:t>
            </w:r>
            <w:r>
              <w:rPr>
                <w:rStyle w:val="row-content-rich-text"/>
              </w:rPr>
              <w:t xml:space="preserve"> to, or the </w:t>
            </w:r>
            <w:r>
              <w:rPr>
                <w:rStyle w:val="row-content-rich-text"/>
                <w:b/>
              </w:rPr>
              <w:t xml:space="preserve">death</w:t>
            </w:r>
            <w:r>
              <w:rPr>
                <w:rStyle w:val="row-content-rich-text"/>
              </w:rPr>
              <w:t xml:space="preserve"> of, a patient.</w:t>
            </w:r>
          </w:p>
          <w:p>
            <w:pPr>
              <w:spacing w:after="160"/>
            </w:pPr>
            <w:r>
              <w:rPr>
                <w:rStyle w:val="row-content-rich-text"/>
              </w:rPr>
              <w:t xml:space="preserve">To be classified as a sentinel event, strict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w:t>
            </w:r>
          </w:p>
          <w:p>
            <w:pPr>
              <w:spacing w:after="160"/>
            </w:pPr>
            <w:r>
              <w:rPr>
                <w:rStyle w:val="row-content-rich-text"/>
              </w:rPr>
              <w:t xml:space="preserve">Sentinel events are further specified into ten events:</w:t>
            </w:r>
          </w:p>
          <w:p>
            <w:pPr>
              <w:pStyle w:val="ListParagraph"/>
              <w:numPr>
                <w:ilvl w:val="0"/>
                <w:numId w:val="3"/>
              </w:numPr>
            </w:pPr>
            <w:r>
              <w:rPr>
                <w:rStyle w:val="row-content-rich-text"/>
              </w:rPr>
              <w:t xml:space="preserve">Surgery or other invasive procedure performed on the wrong site resulting in serious harm or death</w:t>
            </w:r>
          </w:p>
          <w:p>
            <w:pPr>
              <w:pStyle w:val="ListParagraph"/>
              <w:numPr>
                <w:ilvl w:val="0"/>
                <w:numId w:val="3"/>
              </w:numPr>
            </w:pPr>
            <w:r>
              <w:rPr>
                <w:rStyle w:val="row-content-rich-text"/>
              </w:rPr>
              <w:t xml:space="preserve">Surgery or other invasive procedure performed on the wrong patient resulting in serious harm or death</w:t>
            </w:r>
          </w:p>
          <w:p>
            <w:pPr>
              <w:pStyle w:val="ListParagraph"/>
              <w:numPr>
                <w:ilvl w:val="0"/>
                <w:numId w:val="3"/>
              </w:numPr>
            </w:pPr>
            <w:r>
              <w:rPr>
                <w:rStyle w:val="row-content-rich-text"/>
              </w:rPr>
              <w:t xml:space="preserve">Wrong surgical or other invasive procedure performed on a patient resulting in serious harm or death</w:t>
            </w:r>
          </w:p>
          <w:p>
            <w:pPr>
              <w:pStyle w:val="ListParagraph"/>
              <w:numPr>
                <w:ilvl w:val="0"/>
                <w:numId w:val="3"/>
              </w:numPr>
            </w:pPr>
            <w:r>
              <w:rPr>
                <w:rStyle w:val="row-content-rich-text"/>
              </w:rPr>
              <w:t xml:space="preserve">Unintended retention of a foreign object in a patient after surgery or other invasive procedure resulting in serious harm or death</w:t>
            </w:r>
          </w:p>
          <w:p>
            <w:pPr>
              <w:pStyle w:val="ListParagraph"/>
              <w:numPr>
                <w:ilvl w:val="0"/>
                <w:numId w:val="3"/>
              </w:numPr>
            </w:pPr>
            <w:r>
              <w:rPr>
                <w:rStyle w:val="row-content-rich-text"/>
              </w:rPr>
              <w:t xml:space="preserve">Haemolytic blood transfusion reaction resulting from ABO incompatibility resulting in serious harm or death</w:t>
            </w:r>
          </w:p>
          <w:p>
            <w:pPr>
              <w:pStyle w:val="ListParagraph"/>
              <w:numPr>
                <w:ilvl w:val="0"/>
                <w:numId w:val="3"/>
              </w:numPr>
            </w:pPr>
            <w:r>
              <w:rPr>
                <w:rStyle w:val="row-content-rich-text"/>
              </w:rPr>
              <w:t xml:space="preserve">Suspected suicide of a patient in an acute psychiatric unit or acute psychiatric ward</w:t>
            </w:r>
          </w:p>
          <w:p>
            <w:pPr>
              <w:pStyle w:val="ListParagraph"/>
              <w:numPr>
                <w:ilvl w:val="0"/>
                <w:numId w:val="3"/>
              </w:numPr>
            </w:pPr>
            <w:r>
              <w:rPr>
                <w:rStyle w:val="row-content-rich-text"/>
              </w:rPr>
              <w:t xml:space="preserve">Medication error resulting in serious harm or death</w:t>
            </w:r>
          </w:p>
          <w:p>
            <w:pPr>
              <w:pStyle w:val="ListParagraph"/>
              <w:numPr>
                <w:ilvl w:val="0"/>
                <w:numId w:val="3"/>
              </w:numPr>
            </w:pPr>
            <w:r>
              <w:rPr>
                <w:rStyle w:val="row-content-rich-text"/>
              </w:rPr>
              <w:t xml:space="preserve">Use of physical or mechanical restraint resulting in serious harm or death</w:t>
            </w:r>
          </w:p>
          <w:p>
            <w:pPr>
              <w:pStyle w:val="ListParagraph"/>
              <w:numPr>
                <w:ilvl w:val="0"/>
                <w:numId w:val="3"/>
              </w:numPr>
            </w:pPr>
            <w:r>
              <w:rPr>
                <w:rStyle w:val="row-content-rich-text"/>
              </w:rPr>
              <w:t xml:space="preserve">Discharge or release of an infant or child to an unauthorised person.</w:t>
            </w:r>
          </w:p>
          <w:p>
            <w:pPr>
              <w:pStyle w:val="ListParagraph"/>
              <w:numPr>
                <w:ilvl w:val="0"/>
                <w:numId w:val="3"/>
              </w:numPr>
            </w:pPr>
            <w:r>
              <w:rPr>
                <w:rStyle w:val="row-content-rich-text"/>
              </w:rPr>
              <w:t xml:space="preserve">Use of an incorrectly positioned oro- or naso- gastric tube resulting in serious harm or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agreed version 2 of the Australian sentinel events list in December 2018. All jurisdictions implemented these categories on 1 July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Reporting is at the national, state and 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specified events corresponds to what is listed in the Productivity Commission’s </w:t>
            </w:r>
            <w:hyperlink w:history="true" r:id="R576bf21fc22c44a5">
              <w:r>
                <w:rPr>
                  <w:rStyle w:val="Hyperlink"/>
                  <w:i/>
                </w:rPr>
                <w:t xml:space="preserve">Report on Government Services (RoGS)</w:t>
              </w:r>
            </w:hyperlink>
            <w:r>
              <w:rPr>
                <w:rStyle w:val="row-content-rich-text"/>
              </w:rPr>
              <w:t xml:space="preserve"> (PC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PC (Productivity Commission) (2022) Report on Government Services. Canberra: PC. Viewed 22 June 2022, </w:t>
            </w:r>
            <w:hyperlink w:history="true" r:id="R63155ffc7c374261">
              <w:r>
                <w:rPr>
                  <w:rStyle w:val="Hyperlink"/>
                </w:rPr>
                <w:t xml:space="preserve">https://www.pc.gov.au/research/ongoing/report-on-government-services</w:t>
              </w:r>
            </w:hyperlink>
          </w:p>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e37fc132b7d44d3f">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53d794181f40b7">
              <w:r>
                <w:rPr>
                  <w:rStyle w:val="Hyperlink"/>
                </w:rPr>
                <w:t xml:space="preserve">Sentinel event</w:t>
              </w:r>
            </w:hyperlink>
          </w:p>
          <w:p>
            <w:pPr>
              <w:pStyle w:val="registration-status"/>
              <w:spacing w:before="0" w:after="0"/>
            </w:pPr>
            <w:hyperlink w:history="true" r:id="Raa21091e76884107">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33a64c028ee4a59">
              <w:r>
                <w:rPr>
                  <w:rStyle w:val="Hyperlink"/>
                </w:rPr>
                <w:t xml:space="preserve">Australian Health Performance Framework: PI 2.2.3–Sentinel events, 2021</w:t>
              </w:r>
            </w:hyperlink>
          </w:p>
          <w:p>
            <w:pPr>
              <w:pStyle w:val="registration-status"/>
              <w:spacing w:before="0" w:after="0"/>
            </w:pPr>
            <w:hyperlink w:history="true" r:id="Rdfc840fa8bdb48f2">
              <w:r>
                <w:rPr>
                  <w:rStyle w:val="Hyperlink"/>
                  <w:color w:val="244061"/>
                </w:rPr>
                <w:t xml:space="preserve">Health</w:t>
              </w:r>
            </w:hyperlink>
            <w:r>
              <w:rPr>
                <w:rStyle w:val="row-content"/>
                <w:color w:val="244061"/>
              </w:rPr>
              <w:t xml:space="preserve">, Standard 07/09/2023</w:t>
            </w:r>
          </w:p>
          <w:p>
            <w:r>
              <w:br/>
            </w:r>
            <w:hyperlink w:history="true" r:id="R61b2ebe32abb4290">
              <w:r>
                <w:rPr>
                  <w:rStyle w:val="Hyperlink"/>
                </w:rPr>
                <w:t xml:space="preserve">Type of sentinel event</w:t>
              </w:r>
            </w:hyperlink>
          </w:p>
          <w:p>
            <w:pPr>
              <w:pStyle w:val="registration-status"/>
              <w:spacing w:before="0" w:after="0"/>
            </w:pPr>
            <w:hyperlink w:history="true" r:id="Rab26014978ab46a6">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a71900c43ed2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774543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26119469f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900c43ed2492e" /><Relationship Type="http://schemas.openxmlformats.org/officeDocument/2006/relationships/header" Target="/word/header1.xml" Id="Rd845088a26114ef2" /><Relationship Type="http://schemas.openxmlformats.org/officeDocument/2006/relationships/settings" Target="/word/settings.xml" Id="R63c65004381b45d7" /><Relationship Type="http://schemas.openxmlformats.org/officeDocument/2006/relationships/styles" Target="/word/styles.xml" Id="Rb88c376cae8e4fdc" /><Relationship Type="http://schemas.openxmlformats.org/officeDocument/2006/relationships/numbering" Target="/word/numbering.xml" Id="Re9390426a2464750" /><Relationship Type="http://schemas.openxmlformats.org/officeDocument/2006/relationships/hyperlink" Target="https://meteor.aihw.gov.au/RegistrationAuthority/12" TargetMode="External" Id="R5e376dad3dcf4f02" /><Relationship Type="http://schemas.openxmlformats.org/officeDocument/2006/relationships/hyperlink" Target="https://www.pc.gov.au/ongoing/report-on-government-services/2022" TargetMode="External" Id="R576bf21fc22c44a5" /><Relationship Type="http://schemas.openxmlformats.org/officeDocument/2006/relationships/hyperlink" Target="https://www.pc.gov.au/research/ongoing/report-on-government-services" TargetMode="External" Id="R63155ffc7c374261" /><Relationship Type="http://schemas.openxmlformats.org/officeDocument/2006/relationships/hyperlink" Target="https://www.safetyandquality.gov.au/publications-and-resources/resource-library/australian-sentinel-events-list-version-2-development-and-specifications" TargetMode="External" Id="Re37fc132b7d44d3f" /><Relationship Type="http://schemas.openxmlformats.org/officeDocument/2006/relationships/hyperlink" Target="https://meteor.aihw.gov.au/content/754857" TargetMode="External" Id="R8753d794181f40b7" /><Relationship Type="http://schemas.openxmlformats.org/officeDocument/2006/relationships/hyperlink" Target="https://meteor.aihw.gov.au/RegistrationAuthority/12" TargetMode="External" Id="Raa21091e76884107" /><Relationship Type="http://schemas.openxmlformats.org/officeDocument/2006/relationships/hyperlink" Target="https://meteor.aihw.gov.au/content/771654" TargetMode="External" Id="R133a64c028ee4a59" /><Relationship Type="http://schemas.openxmlformats.org/officeDocument/2006/relationships/hyperlink" Target="https://meteor.aihw.gov.au/RegistrationAuthority/12" TargetMode="External" Id="Rdfc840fa8bdb48f2" /><Relationship Type="http://schemas.openxmlformats.org/officeDocument/2006/relationships/hyperlink" Target="https://meteor.aihw.gov.au/content/774611" TargetMode="External" Id="R61b2ebe32abb4290" /><Relationship Type="http://schemas.openxmlformats.org/officeDocument/2006/relationships/hyperlink" Target="https://meteor.aihw.gov.au/RegistrationAuthority/12" TargetMode="External" Id="Rab26014978ab46a6" /></Relationships>
</file>

<file path=word/_rels/header1.xml.rels>&#65279;<?xml version="1.0" encoding="utf-8"?><Relationships xmlns="http://schemas.openxmlformats.org/package/2006/relationships"><Relationship Type="http://schemas.openxmlformats.org/officeDocument/2006/relationships/image" Target="/media/image.png" Id="Rc1626119469f49ca" /></Relationships>
</file>