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92327705944393"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11768e58e4e53">
              <w:r>
                <w:rPr>
                  <w:rStyle w:val="Hyperlink"/>
                  <w:color w:val="244061"/>
                </w:rPr>
                <w:t xml:space="preserve">AIHW Data Quality Statements</w:t>
              </w:r>
            </w:hyperlink>
            <w:r>
              <w:rPr>
                <w:rStyle w:val="row-content"/>
                <w:color w:val="244061"/>
              </w:rPr>
              <w:t xml:space="preserve">, Superseded 30/05/2024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Opioid Pharmacotherapy Statistics Annual Data collection (NOPSAD) collection comprises data collected by state and territory health departments about opioid pharmacotherapy clients, prescribers and dosing points (that is a place at which a client is provided a pharmacotherapy drug). Each jurisdiction uses different methods to collect data about the pharmacotherapy used to treat those with opioid dependence. The data are a mix of survey and administrative data. Further information on these differences can be found in the annual </w:t>
            </w:r>
            <w:hyperlink w:history="true" r:id="R22b9cc77aea24613">
              <w:r>
                <w:rPr>
                  <w:rStyle w:val="Hyperlink"/>
                </w:rPr>
                <w:t xml:space="preserve">National opioid pharmacotherapy statistics</w:t>
              </w:r>
            </w:hyperlink>
            <w:r>
              <w:rPr>
                <w:rStyle w:val="row-content-rich-text"/>
              </w:rPr>
              <w:t xml:space="preserve"> report.</w:t>
            </w:r>
          </w:p>
          <w:p>
            <w:pPr>
              <w:spacing w:after="160"/>
            </w:pPr>
            <w:r>
              <w:rPr>
                <w:rStyle w:val="row-content-rich-text"/>
              </w:rPr>
              <w:t xml:space="preserve">Since 2019, two depot forms of buprenorphine (Buvidal® and Sublocade®) were registered for use in the treatment of opioid dependence across Australia. These long-acting injections (Buprenorphine LAI) were reported where possible for the first time in the NOPSAD 2020 collection. The NOPSAD collection now includes information on four opioid pharmacotherapy drugs used for treating opioid dependence. These drugs are methadone, buprenorphine, buprenorphine-naloxone and buprenorphine LAI.</w:t>
            </w:r>
          </w:p>
          <w:p>
            <w:pPr>
              <w:spacing w:after="160"/>
            </w:pPr>
            <w:r>
              <w:rPr>
                <w:rStyle w:val="row-content-rich-text"/>
              </w:rPr>
              <w:t xml:space="preserve">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6a6090d5c1ec4d43">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spacing w:after="160"/>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spacing w:after="160"/>
            </w:pPr>
            <w:r>
              <w:rPr>
                <w:rStyle w:val="row-content-rich-text"/>
              </w:rPr>
              <w:t xml:space="preserve">New South Wales is unable to differentiate between clients prescribed buprenorphine, buprenorphine-naloxone or buprenorphine LAI in its reporting.</w:t>
            </w:r>
          </w:p>
          <w:p>
            <w:pPr>
              <w:spacing w:after="160"/>
            </w:pPr>
            <w:r>
              <w:rPr>
                <w:rStyle w:val="row-content-rich-text"/>
              </w:rPr>
              <w:t xml:space="preserve">Reporting for Indigenous status of client status by individual pharmacotherapy drug type was provided by Victoria for the first time in 2022.</w:t>
            </w:r>
          </w:p>
          <w:p>
            <w:pPr>
              <w:spacing w:after="160"/>
            </w:pPr>
            <w:r>
              <w:rPr>
                <w:rStyle w:val="row-content-rich-text"/>
              </w:rPr>
              <w:t xml:space="preserve">In Western Australia, the number of clients receiving pharmacotherapy treatment is usually reported through the month of June (rather than on a snapshot day), likely resulting in an over-reporting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spacing w:after="160"/>
            </w:pPr>
            <w:r>
              <w:rPr>
                <w:rStyle w:val="row-content-rich-text"/>
              </w:rPr>
              <w:t xml:space="preserve">Queensland dosing point data and client status data were not available for the NOPSAD 2022 collection. This is a result of the implementation of a new real-time prescription monitoring system (QScript) and the commencement of the new </w:t>
            </w:r>
            <w:hyperlink w:history="true" r:id="R8f97f9121b674b74">
              <w:r>
                <w:rPr>
                  <w:rStyle w:val="Hyperlink"/>
                </w:rPr>
                <w:t xml:space="preserve">Medicines and Poisons Act 2019</w:t>
              </w:r>
            </w:hyperlink>
            <w:r>
              <w:rPr>
                <w:rStyle w:val="row-content-rich-text"/>
              </w:rPr>
              <w:t xml:space="preserve">.</w:t>
            </w:r>
          </w:p>
          <w:p>
            <w:pPr>
              <w:spacing w:after="160"/>
            </w:pPr>
            <w:r>
              <w:rPr>
                <w:rStyle w:val="row-content-rich-text"/>
              </w:rPr>
              <w:t xml:space="preserve">South Australia could not provide client status data and noted that prescribers may be undercounted as accredited prescribers who have only 1-2 clients may not have been included for the 2022 NOPSAD collection. Some data quality issues have arisen due to transition to a new real-time prescription monitoring system which became mandatory on 1 April 2022.</w:t>
            </w:r>
          </w:p>
          <w:p>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d532eebf1d24c4b">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6a22c842e32847c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a15c3b4cdd594885">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aa218c84478c421c">
              <w:r>
                <w:rPr>
                  <w:rStyle w:val="Hyperlink"/>
                </w:rPr>
                <w:t xml:space="preserve">www.aihw.gov.au/about-us</w:t>
              </w:r>
            </w:hyperlink>
            <w:r>
              <w:rPr>
                <w:rStyle w:val="row-content-rich-text"/>
              </w:rPr>
              <w:t xml:space="preserve">, which includes details about the AIHW’s governance (</w:t>
            </w:r>
            <w:hyperlink w:history="true" r:id="R27bf2062017f46a9">
              <w:r>
                <w:rPr>
                  <w:rStyle w:val="Hyperlink"/>
                </w:rPr>
                <w:t xml:space="preserve">www.aihw.gov.au/about-us/our-governance</w:t>
              </w:r>
            </w:hyperlink>
            <w:r>
              <w:rPr>
                <w:rStyle w:val="row-content-rich-text"/>
              </w:rPr>
              <w:t xml:space="preserve">) and our role and strategic goals (</w:t>
            </w:r>
            <w:hyperlink w:history="true" r:id="Re3b02bb0cff74bc1">
              <w:r>
                <w:rPr>
                  <w:rStyle w:val="Hyperlink"/>
                </w:rPr>
                <w:t xml:space="preserve">www.aihw.gov.au/about-us/our-vision-and-strategic-goals</w:t>
              </w:r>
            </w:hyperlink>
            <w:r>
              <w:rPr>
                <w:rStyle w:val="row-content-rich-text"/>
              </w:rPr>
              <w:t xml:space="preserve">).</w:t>
            </w:r>
          </w:p>
          <w:p>
            <w:pPr/>
            <w:r>
              <w:rPr>
                <w:rStyle w:val="row-content-rich-text"/>
              </w:rPr>
              <w:t xml:space="preserve">State and territory health authorities collate data relating to opioid pharmacotherapy prescribers and dosing points through a variety of administrative arrangements, contractual requirements or legislation.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 that is within 12 months of collection).</w:t>
            </w:r>
          </w:p>
          <w:p>
            <w:pPr>
              <w:spacing w:after="160"/>
            </w:pPr>
            <w:r>
              <w:rPr>
                <w:rStyle w:val="row-content-rich-text"/>
              </w:rPr>
              <w:t xml:space="preserve">For the 2022 NOPSAD collection, initial data were due to be provided to the AIHW by 12 October 2022. Five jurisdictions supplied data to the AIHW around this date; see Coherence for further details.</w:t>
            </w:r>
          </w:p>
          <w:p>
            <w:pPr/>
            <w:r>
              <w:rPr>
                <w:rStyle w:val="row-content-rich-text"/>
              </w:rPr>
              <w:t xml:space="preserve">Final cleaned data were due to be signed off by the jurisdictions by 30 November 2022. Data was signed off by all jurisdictions on 4 January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w:t>
            </w:r>
            <w:hyperlink w:history="true" r:id="Rb8e9b43a979a474b">
              <w:r>
                <w:rPr>
                  <w:rStyle w:val="Hyperlink"/>
                </w:rPr>
                <w:t xml:space="preserve">AIHW website</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by contacting the AIHW on (02) 6244 1000, by email to info@aihw.gov.au or through the AIHW's custom data request service at </w:t>
            </w:r>
            <w:hyperlink w:history="true" r:id="R47764d62efd7480d">
              <w:r>
                <w:rPr>
                  <w:rStyle w:val="Hyperlink"/>
                </w:rPr>
                <w:t xml:space="preserve">https://www.aihw.gov.au/our-services/data-on-request</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10d58b182f504683">
              <w:r>
                <w:rPr>
                  <w:rStyle w:val="Hyperlink"/>
                  <w:u w:val="single"/>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hyperlink w:history="true" r:id="Rfaa99d563538460d">
              <w:r>
                <w:rPr>
                  <w:rStyle w:val="Hyperlink"/>
                  <w:i/>
                </w:rPr>
                <w:t xml:space="preserve">National opioid pharmacotherapy statistics</w:t>
              </w:r>
            </w:hyperlink>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NOPSAD data are usually collected on a snapshot day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pStyle w:val="ListParagraph"/>
              <w:numPr>
                <w:ilvl w:val="0"/>
                <w:numId w:val="4"/>
              </w:numPr>
            </w:pPr>
            <w:r>
              <w:rPr>
                <w:rStyle w:val="row-content-rich-text"/>
              </w:rPr>
              <w:t xml:space="preserve">In Western Australia, the number of clients receiving pharmacotherapy treatment is reported throughout the month of June (rather than on a snapshot day), likely resulting in an over-representation of clients in Western Australia.</w:t>
            </w:r>
          </w:p>
          <w:p>
            <w:pPr>
              <w:pStyle w:val="ListParagraph"/>
              <w:numPr>
                <w:ilvl w:val="0"/>
                <w:numId w:val="4"/>
              </w:numPr>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day provide an indication of pharmacotherapy treatment activity on a specified day, but do not capture the total estimated activity for any given year.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spacing w:after="160"/>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p>
            <w:pPr>
              <w:pStyle w:val="ListParagraph"/>
              <w:numPr>
                <w:ilvl w:val="0"/>
                <w:numId w:val="5"/>
              </w:numPr>
            </w:pPr>
            <w:r>
              <w:rPr>
                <w:rStyle w:val="row-content-rich-text"/>
              </w:rPr>
              <w:t xml:space="preserve">Western Australia was unable to report on client status 'Readmission' and 'Ongoing' due to changes to their data collection and processing systems. These records are reported as 'Not stated'.</w:t>
            </w:r>
          </w:p>
          <w:p>
            <w:pPr>
              <w:pStyle w:val="ListParagraph"/>
              <w:numPr>
                <w:ilvl w:val="0"/>
                <w:numId w:val="5"/>
              </w:numPr>
            </w:pPr>
            <w:r>
              <w:rPr>
                <w:rStyle w:val="row-content-rich-text"/>
              </w:rPr>
              <w:t xml:space="preserve">South Australia was unable to provide client status due to changes to their data collection and processing systems.</w:t>
            </w:r>
          </w:p>
          <w:p>
            <w:pPr>
              <w:pStyle w:val="ListParagraph"/>
              <w:numPr>
                <w:ilvl w:val="0"/>
                <w:numId w:val="5"/>
              </w:numPr>
            </w:pPr>
            <w:r>
              <w:rPr>
                <w:rStyle w:val="row-content-rich-text"/>
              </w:rPr>
              <w:t xml:space="preserve">Queensland was unable to provide client status breakdowns or dosing point location data, due to transitioning to the Real Time Prescription Monitoring reporting systems.</w:t>
            </w:r>
          </w:p>
          <w:p>
            <w:pPr/>
            <w:r>
              <w:rPr>
                <w:rStyle w:val="row-content-rich-text"/>
              </w:rPr>
              <w:t xml:space="preserve">The sex classification of ‘Another term’ was included in the NOPSAD collection for the first time, however it’s not reported in text due to small numbers and concerns with data reliability.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Data are collected from each jurisdiction. </w:t>
            </w:r>
          </w:p>
          <w:p>
            <w:pPr>
              <w:spacing w:after="160"/>
            </w:pPr>
            <w:r>
              <w:rPr>
                <w:rStyle w:val="row-content-rich-text"/>
              </w:rPr>
              <w:t xml:space="preserve">Data are collated according to agreed specifications. However, jurisdictional differences in legislation, database structure and resources may result in variations in reporting to the AIHW. The Health Ministers from the Commonwealth, states and territories agreed to implement a national real time prescription monitoring system (RTPM). The RTPM provides information to doctors (prescribers) and pharmacists (dispensers) about a patient’s history and use of controlled medicines when they are considering prescribing or dispensing these medicines.</w:t>
            </w:r>
          </w:p>
          <w:p>
            <w:pPr>
              <w:spacing w:after="160"/>
            </w:pPr>
            <w:r>
              <w:rPr>
                <w:rStyle w:val="row-content-rich-text"/>
              </w:rPr>
              <w:t xml:space="preserve">The Commonwealth, state and territory agencies are working together to implement the RTPM system.</w:t>
            </w:r>
          </w:p>
          <w:p>
            <w:pPr>
              <w:spacing w:after="160"/>
            </w:pPr>
            <w:r>
              <w:rPr>
                <w:rStyle w:val="row-content-rich-text"/>
              </w:rPr>
              <w:t xml:space="preserve">The RTPM system consists of two components:</w:t>
            </w:r>
          </w:p>
          <w:p>
            <w:pPr>
              <w:pStyle w:val="ListParagraph"/>
              <w:numPr>
                <w:ilvl w:val="0"/>
                <w:numId w:val="6"/>
              </w:numPr>
            </w:pPr>
            <w:r>
              <w:rPr>
                <w:rStyle w:val="row-content-rich-text"/>
              </w:rPr>
              <w:t xml:space="preserve">A National Data Exchange (NDE), which captures information from state and territory regulatory systems, prescribing and dispensing software, and a range of external data sources.</w:t>
            </w:r>
          </w:p>
          <w:p>
            <w:pPr>
              <w:pStyle w:val="ListParagraph"/>
              <w:numPr>
                <w:ilvl w:val="0"/>
                <w:numId w:val="6"/>
              </w:numPr>
            </w:pPr>
            <w:r>
              <w:rPr>
                <w:rStyle w:val="row-content-rich-text"/>
              </w:rPr>
              <w:t xml:space="preserve">Regulatory systems within each state or territory, which manage the authorities or permits for controlled medicines in each state and territory.</w:t>
            </w:r>
          </w:p>
          <w:p>
            <w:pPr>
              <w:spacing w:after="160"/>
            </w:pPr>
            <w:r>
              <w:rPr>
                <w:rStyle w:val="row-content-rich-text"/>
              </w:rPr>
              <w:t xml:space="preserve">The implementation of these systems may impact the quality of the NOPSAD data as States and territories are responsible for developing the regulatory components that integrate with the NDE based on their specific regulatory environments. As such, they maintain responsibility for the regulation of controlled medicines (Schedule 8) within their jurisdiction and have discretion as to which additional (Schedule 4) medicines they wish to monitor, using the RTPM system. This incorporates the development of a NOPSAD module to enable extraction of data items that are required for annual reporting within each state and territory. </w:t>
            </w:r>
          </w:p>
          <w:p>
            <w:pPr>
              <w:spacing w:after="160"/>
            </w:pPr>
            <w:r>
              <w:rPr>
                <w:rStyle w:val="row-content-rich-text"/>
              </w:rPr>
              <w:t xml:space="preserve">The method of data collection and elements collected is consistent between years, allowing for meaningful comparisons over time.</w:t>
            </w:r>
          </w:p>
          <w:p>
            <w:r>
              <w:br/>
            </w:r>
            <w:r>
              <w:br/>
            </w:r>
            <w:r>
              <w:br/>
            </w:r>
          </w:p>
          <w:p>
            <w:pPr>
              <w:spacing w:after="160"/>
            </w:pPr>
            <w:r>
              <w:rPr>
                <w:rStyle w:val="row-content-rich-text"/>
              </w:rPr>
              <w:t xml:space="preserve">In 2022:</w:t>
            </w:r>
          </w:p>
          <w:p>
            <w:pPr>
              <w:pStyle w:val="ListParagraph"/>
              <w:numPr>
                <w:ilvl w:val="0"/>
                <w:numId w:val="7"/>
              </w:numPr>
            </w:pPr>
            <w:r>
              <w:rPr>
                <w:rStyle w:val="row-content-rich-text"/>
              </w:rPr>
              <w:t xml:space="preserve">The following states/territories implemented a national real time prescription monitoring system (RTPM) since 2020; Victoria, Queensland, Western Australia, South Australia, the Australian Capital territory and Northern Territory.</w:t>
            </w:r>
          </w:p>
          <w:p>
            <w:pPr>
              <w:pStyle w:val="ListParagraph"/>
              <w:numPr>
                <w:ilvl w:val="0"/>
                <w:numId w:val="7"/>
              </w:numPr>
            </w:pPr>
            <w:r>
              <w:rPr>
                <w:rStyle w:val="row-content-rich-text"/>
              </w:rPr>
              <w:t xml:space="preserve">In Victoria, the increased number and rate of Indigenous clients compared to previous years likely relates to improved accuracy of coding of the database under </w:t>
            </w:r>
            <w:hyperlink w:history="true" r:id="Rc3437699cfaf4ac0">
              <w:r>
                <w:rPr>
                  <w:rStyle w:val="Hyperlink"/>
                </w:rPr>
                <w:t xml:space="preserve">SafeScript.</w:t>
              </w:r>
            </w:hyperlink>
          </w:p>
          <w:p>
            <w:pPr>
              <w:spacing w:after="160"/>
            </w:pPr>
            <w:r>
              <w:rPr>
                <w:rStyle w:val="row-content-rich-text"/>
              </w:rPr>
              <w:t xml:space="preserve">Other key historical changes:</w:t>
            </w:r>
          </w:p>
          <w:p>
            <w:pPr>
              <w:pStyle w:val="ListParagraph"/>
              <w:numPr>
                <w:ilvl w:val="0"/>
                <w:numId w:val="8"/>
              </w:numPr>
            </w:pPr>
            <w:r>
              <w:rPr>
                <w:rStyle w:val="row-content-rich-text"/>
              </w:rPr>
              <w:t xml:space="preserve">In 2021, Queensland data were not available for the NOPSAD 2021 collection. This was a result of the implementation of a new real-time prescription monitoring system (QScript) and the commencement of the new Medicines and Poisons Act 2019.</w:t>
            </w:r>
          </w:p>
          <w:p>
            <w:pPr>
              <w:pStyle w:val="ListParagraph"/>
              <w:numPr>
                <w:ilvl w:val="0"/>
                <w:numId w:val="8"/>
              </w:numPr>
            </w:pPr>
            <w:r>
              <w:rPr>
                <w:rStyle w:val="row-content-rich-text"/>
              </w:rPr>
              <w:t xml:space="preserve">In 2020, New South Wales reported client status for the first time.</w:t>
            </w:r>
          </w:p>
          <w:p>
            <w:pPr>
              <w:pStyle w:val="ListParagraph"/>
              <w:numPr>
                <w:ilvl w:val="0"/>
                <w:numId w:val="8"/>
              </w:numPr>
            </w:pPr>
            <w:r>
              <w:rPr>
                <w:rStyle w:val="row-content-rich-text"/>
              </w:rPr>
              <w:t xml:space="preserve">In 2020, clients receiving buprenorphine LAI was reported for the first time in selected states and territories.</w:t>
            </w:r>
          </w:p>
          <w:p>
            <w:pPr>
              <w:pStyle w:val="ListParagraph"/>
              <w:numPr>
                <w:ilvl w:val="0"/>
                <w:numId w:val="8"/>
              </w:numPr>
            </w:pPr>
            <w:r>
              <w:rPr>
                <w:rStyle w:val="row-content-rich-text"/>
              </w:rPr>
              <w:t xml:space="preserve">The number of clients receiving buprenorphine in New South Wales cannot be compared, as New South Wales groups all clients receiving buprenorphine-naloxone¬ or buprenorphine LAI together with clients receiving buprenorphine.</w:t>
            </w:r>
          </w:p>
          <w:p>
            <w:pPr>
              <w:pStyle w:val="ListParagraph"/>
              <w:numPr>
                <w:ilvl w:val="0"/>
                <w:numId w:val="8"/>
              </w:numPr>
            </w:pPr>
            <w:r>
              <w:rPr>
                <w:rStyle w:val="row-content-rich-text"/>
              </w:rPr>
              <w:t xml:space="preserve">New South Wales and Western Australia each report all correctional dosing point sites as operating under a single site rather than counting individual correctional dosing point sites.</w:t>
            </w:r>
          </w:p>
          <w:p>
            <w:pPr>
              <w:pStyle w:val="ListParagraph"/>
              <w:numPr>
                <w:ilvl w:val="0"/>
                <w:numId w:val="8"/>
              </w:numPr>
            </w:pPr>
            <w:r>
              <w:rPr>
                <w:rStyle w:val="row-content-rich-text"/>
              </w:rPr>
              <w:t xml:space="preserve">In 2020, a review of data collection practices for counting prescribers was undertaken in New South Wales. Published figures relating to the number of prescribers in New South Wales are inflated for the years 2016 to 2019.</w:t>
            </w:r>
          </w:p>
          <w:p>
            <w:pPr>
              <w:pStyle w:val="ListParagraph"/>
              <w:numPr>
                <w:ilvl w:val="0"/>
                <w:numId w:val="8"/>
              </w:numPr>
            </w:pPr>
            <w:r>
              <w:rPr>
                <w:rStyle w:val="row-content-rich-text"/>
              </w:rPr>
              <w:t xml:space="preserve">From 2019, geographic location of dosing point sites at the 2016 Australian Statistical Geographical Classification Statistical area level 2 (ASGS SA2) were reported. Prior to 2019, 2011 ASGS SA2 was reported.</w:t>
            </w:r>
          </w:p>
          <w:p>
            <w:pPr>
              <w:pStyle w:val="ListParagraph"/>
              <w:numPr>
                <w:ilvl w:val="0"/>
                <w:numId w:val="8"/>
              </w:numPr>
            </w:pPr>
            <w:r>
              <w:rPr>
                <w:rStyle w:val="row-content-rich-text"/>
              </w:rPr>
              <w:t xml:space="preserve">In 2018, Western Australia reported Indigenous status of clients for the first time.</w:t>
            </w:r>
          </w:p>
          <w:p>
            <w:pPr>
              <w:spacing w:after="160"/>
            </w:pPr>
            <w:r>
              <w:rPr>
                <w:rStyle w:val="row-content-rich-text"/>
              </w:rPr>
              <w:t xml:space="preserve">Information about issues affecting the coherence of NOPSAD data for prior years can be found in the Coherence section of the </w:t>
            </w:r>
            <w:hyperlink w:history="true" r:id="R36aeb229f0904c66">
              <w:r>
                <w:rPr>
                  <w:rStyle w:val="Hyperlink"/>
                </w:rPr>
                <w:t xml:space="preserve">National Opioid Pharmacotherapy Statistics Annual Data collection, 2016; Quality Statement</w:t>
              </w:r>
            </w:hyperlink>
            <w:r>
              <w:rPr>
                <w:rStyle w:val="row-content-rich-text"/>
              </w:rPr>
              <w:t xml:space="preserve">.</w:t>
            </w:r>
          </w:p>
          <w:p>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0c55d00e8840b4">
              <w:r>
                <w:rPr>
                  <w:rStyle w:val="Hyperlink"/>
                </w:rPr>
                <w:t xml:space="preserve">National Opioid Pharmacotherapy Statistics Annual Data collection, 2021; Quality Statement</w:t>
              </w:r>
            </w:hyperlink>
          </w:p>
          <w:p>
            <w:pPr>
              <w:pStyle w:val="registration-status"/>
              <w:spacing w:before="0" w:after="0"/>
            </w:pPr>
            <w:hyperlink w:history="true" r:id="R8704bbf6681e4728">
              <w:r>
                <w:rPr>
                  <w:rStyle w:val="Hyperlink"/>
                  <w:color w:val="244061"/>
                </w:rPr>
                <w:t xml:space="preserve">AIHW Data Quality Statements</w:t>
              </w:r>
            </w:hyperlink>
            <w:r>
              <w:rPr>
                <w:rStyle w:val="row-content"/>
                <w:color w:val="244061"/>
              </w:rPr>
              <w:t xml:space="preserve">, Superseded 20/04/2023</w:t>
            </w:r>
          </w:p>
          <w:p>
            <w:r>
              <w:br/>
            </w:r>
            <w:r>
              <w:rPr>
                <w:rStyle w:val="row-content"/>
              </w:rPr>
              <w:t xml:space="preserve">Has been superseded by </w:t>
            </w:r>
            <w:hyperlink w:history="true" r:id="Rda7098fd70bb4b76">
              <w:r>
                <w:rPr>
                  <w:rStyle w:val="Hyperlink"/>
                </w:rPr>
                <w:t xml:space="preserve">National Opioid Pharmacotherapy Statistics Annual Data collection, 2023; Quality Statement</w:t>
              </w:r>
            </w:hyperlink>
          </w:p>
          <w:p>
            <w:pPr>
              <w:pStyle w:val="registration-status"/>
              <w:spacing w:before="0" w:after="0"/>
            </w:pPr>
            <w:hyperlink w:history="true" r:id="R7dbb33eb1a594264">
              <w:r>
                <w:rPr>
                  <w:rStyle w:val="Hyperlink"/>
                  <w:color w:val="244061"/>
                </w:rPr>
                <w:t xml:space="preserve">AIHW Data Quality Statements</w:t>
              </w:r>
            </w:hyperlink>
            <w:r>
              <w:rPr>
                <w:rStyle w:val="row-content"/>
                <w:color w:val="244061"/>
              </w:rPr>
              <w:t xml:space="preserve">, Standard 30/05/2024</w:t>
            </w:r>
          </w:p>
          <w:p>
            <w:r>
              <w:br/>
            </w:r>
          </w:p>
        </w:tc>
      </w:tr>
    </w:tbl>
    <w:p>
      <w:r>
        <w:br/>
      </w:r>
    </w:p>
    <w:sectPr>
      <w:footerReference xmlns:r="http://schemas.openxmlformats.org/officeDocument/2006/relationships" w:type="default" r:id="R5418cf526957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9ce445bc1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8cf5269574661" /><Relationship Type="http://schemas.openxmlformats.org/officeDocument/2006/relationships/header" Target="/word/header1.xml" Id="R35b19e6fa8c44ed8" /><Relationship Type="http://schemas.openxmlformats.org/officeDocument/2006/relationships/settings" Target="/word/settings.xml" Id="Rf5ddce600982431a" /><Relationship Type="http://schemas.openxmlformats.org/officeDocument/2006/relationships/styles" Target="/word/styles.xml" Id="Ra1d40beae96e48e1" /><Relationship Type="http://schemas.openxmlformats.org/officeDocument/2006/relationships/numbering" Target="/word/numbering.xml" Id="R6f3a8b0d625e4c15" /><Relationship Type="http://schemas.openxmlformats.org/officeDocument/2006/relationships/hyperlink" Target="https://meteor.aihw.gov.au/RegistrationAuthority/5" TargetMode="External" Id="R91a11768e58e4e53" /><Relationship Type="http://schemas.openxmlformats.org/officeDocument/2006/relationships/hyperlink" Target="https://www.aihw.gov.au/reports/alcohol-other-drug-treatment-services/national-opioid-pharmacotherapy-statistics-2019/contents/introduction" TargetMode="External" Id="R22b9cc77aea24613" /><Relationship Type="http://schemas.openxmlformats.org/officeDocument/2006/relationships/hyperlink" Target="http://www.abs.gov.au/AUSSTATS/abs@.nsf/Lookup/1248.0Main+Features12011?OpenDocument" TargetMode="External" Id="R6a6090d5c1ec4d43" /><Relationship Type="http://schemas.openxmlformats.org/officeDocument/2006/relationships/hyperlink" Target="https://www.legislation.qld.gov.au/view/html/inforce/current/act-2019-026" TargetMode="External" Id="R8f97f9121b674b74" /><Relationship Type="http://schemas.openxmlformats.org/officeDocument/2006/relationships/hyperlink" Target="http://www.comlaw.gov.au/Series/C2004A03450" TargetMode="External" Id="R3d532eebf1d24c4b" /><Relationship Type="http://schemas.openxmlformats.org/officeDocument/2006/relationships/hyperlink" Target="http://www.aihw.gov.au/aihw-board/" TargetMode="External" Id="R6a22c842e32847c7" /><Relationship Type="http://schemas.openxmlformats.org/officeDocument/2006/relationships/hyperlink" Target="http://www.comlaw.gov.au/Details/C2011C00503" TargetMode="External" Id="Ra15c3b4cdd594885" /><Relationship Type="http://schemas.openxmlformats.org/officeDocument/2006/relationships/hyperlink" Target="https://www.aihw.gov.au/about-us" TargetMode="External" Id="Raa218c84478c421c" /><Relationship Type="http://schemas.openxmlformats.org/officeDocument/2006/relationships/hyperlink" Target="https://www.aihw.gov.au/about-us/our-governance" TargetMode="External" Id="R27bf2062017f46a9" /><Relationship Type="http://schemas.openxmlformats.org/officeDocument/2006/relationships/hyperlink" Target="https://www.aihw.gov.au/about-us/our-vision-and-strategic-goals" TargetMode="External" Id="Re3b02bb0cff74bc1" /><Relationship Type="http://schemas.openxmlformats.org/officeDocument/2006/relationships/hyperlink" Target="https://www.aihw.gov.au/reports-statistics/health-welfare-services/alcohol-other-drug-treatment-services/overview" TargetMode="External" Id="Rb8e9b43a979a474b" /><Relationship Type="http://schemas.openxmlformats.org/officeDocument/2006/relationships/hyperlink" Target="https://www.aihw.gov.au/our-services/data-on-request" TargetMode="External" Id="R47764d62efd7480d" /><Relationship Type="http://schemas.openxmlformats.org/officeDocument/2006/relationships/hyperlink" Target="mailto:aod@aihw.gov.au" TargetMode="External" Id="R10d58b182f504683" /><Relationship Type="http://schemas.openxmlformats.org/officeDocument/2006/relationships/hyperlink" Target="https://www.aihw.gov.au/reports/alcohol-other-drug-treatment-services/national-opioid-pharmacotherapy-statistics-2019/contents/introduction" TargetMode="External" Id="Rfaa99d563538460d" /><Relationship Type="http://schemas.openxmlformats.org/officeDocument/2006/relationships/hyperlink" Target="https://www.safescript.vic.gov.au/" TargetMode="External" Id="Rc3437699cfaf4ac0" /><Relationship Type="http://schemas.openxmlformats.org/officeDocument/2006/relationships/hyperlink" Target="https://meteor.aihw.gov.au/content/639660" TargetMode="External" Id="R36aeb229f0904c66" /><Relationship Type="http://schemas.openxmlformats.org/officeDocument/2006/relationships/hyperlink" Target="https://meteor.aihw.gov.au/content/755416" TargetMode="External" Id="R030c55d00e8840b4" /><Relationship Type="http://schemas.openxmlformats.org/officeDocument/2006/relationships/hyperlink" Target="https://meteor.aihw.gov.au/RegistrationAuthority/5" TargetMode="External" Id="R8704bbf6681e4728" /><Relationship Type="http://schemas.openxmlformats.org/officeDocument/2006/relationships/hyperlink" Target="https://meteor.aihw.gov.au/content/792377" TargetMode="External" Id="Rda7098fd70bb4b76" /><Relationship Type="http://schemas.openxmlformats.org/officeDocument/2006/relationships/hyperlink" Target="https://meteor.aihw.gov.au/RegistrationAuthority/5" TargetMode="External" Id="R7dbb33eb1a594264" /></Relationships>
</file>

<file path=word/_rels/header1.xml.rels>&#65279;<?xml version="1.0" encoding="utf-8"?><Relationships xmlns="http://schemas.openxmlformats.org/package/2006/relationships"><Relationship Type="http://schemas.openxmlformats.org/officeDocument/2006/relationships/image" Target="/media/image.png" Id="Raf69ce445bc14bcd" /></Relationships>
</file>