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7821c5c5014a27"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PI19b-Proportion of Indigenous regular clients with a selected chronic disease who have a kidney function result within a specified category, June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PI19b-Proportion of Indigenous regular clients with a selected chronic disease who have a kidney function result within a specified category,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PI19b-Proportion of Indigenous regular clients with a selected chronic disease who have a kidney function result within a specified category,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9f0336bb794c32">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67041957194c4745">
              <w:r>
                <w:rPr>
                  <w:rStyle w:val="Hyperlink"/>
                  <w:b/>
                </w:rPr>
                <w:t xml:space="preserve">Indigenous regular clients</w:t>
              </w:r>
            </w:hyperlink>
            <w:r>
              <w:rPr>
                <w:rStyle w:val="row-content-rich-text"/>
              </w:rPr>
              <w:t xml:space="preserve"> aged 18 and over with:</w:t>
            </w:r>
          </w:p>
          <w:p>
            <w:pPr>
              <w:pStyle w:val="ListParagraph"/>
              <w:numPr>
                <w:ilvl w:val="0"/>
                <w:numId w:val="2"/>
              </w:numPr>
            </w:pPr>
            <w:r>
              <w:rPr>
                <w:rStyle w:val="row-content-rich-text"/>
              </w:rPr>
              <w:t xml:space="preserve">type 2 diabetes</w:t>
            </w:r>
          </w:p>
          <w:p>
            <w:pPr>
              <w:pStyle w:val="ListParagraph"/>
              <w:numPr>
                <w:ilvl w:val="0"/>
                <w:numId w:val="2"/>
              </w:numPr>
            </w:pPr>
            <w:r>
              <w:rPr>
                <w:rStyle w:val="row-content-rich-text"/>
              </w:rPr>
              <w:t xml:space="preserve">cardiovascular disease (CVD)</w:t>
            </w:r>
          </w:p>
          <w:p>
            <w:pPr>
              <w:pStyle w:val="ListParagraph"/>
              <w:numPr>
                <w:ilvl w:val="0"/>
                <w:numId w:val="2"/>
              </w:numPr>
            </w:pPr>
            <w:r>
              <w:rPr>
                <w:rStyle w:val="row-content-rich-text"/>
              </w:rPr>
              <w:t xml:space="preserve">type 2 diabetes and/or CVD</w:t>
            </w:r>
          </w:p>
          <w:p>
            <w:pPr>
              <w:spacing w:after="160"/>
            </w:pPr>
            <w:r>
              <w:rPr>
                <w:rStyle w:val="row-content-rich-text"/>
              </w:rPr>
              <w:t xml:space="preserve">whose estimated glomerular filtration rate (eGFR) and albumin/creatinine ratio (ACR) recorded within the previous 12 months was categorised as:</w:t>
            </w:r>
          </w:p>
          <w:p>
            <w:pPr>
              <w:pStyle w:val="ListParagraph"/>
              <w:numPr>
                <w:ilvl w:val="0"/>
                <w:numId w:val="3"/>
              </w:numPr>
            </w:pPr>
            <w:r>
              <w:rPr>
                <w:rStyle w:val="row-content-rich-text"/>
              </w:rPr>
              <w:t xml:space="preserve">normal risk</w:t>
            </w:r>
          </w:p>
          <w:p>
            <w:pPr>
              <w:pStyle w:val="ListParagraph"/>
              <w:numPr>
                <w:ilvl w:val="0"/>
                <w:numId w:val="3"/>
              </w:numPr>
            </w:pPr>
            <w:r>
              <w:rPr>
                <w:rStyle w:val="row-content-rich-text"/>
              </w:rPr>
              <w:t xml:space="preserve">low risk</w:t>
            </w:r>
          </w:p>
          <w:p>
            <w:pPr>
              <w:pStyle w:val="ListParagraph"/>
              <w:numPr>
                <w:ilvl w:val="0"/>
                <w:numId w:val="3"/>
              </w:numPr>
            </w:pPr>
            <w:r>
              <w:rPr>
                <w:rStyle w:val="row-content-rich-text"/>
              </w:rPr>
              <w:t xml:space="preserve">moderate risk</w:t>
            </w:r>
          </w:p>
          <w:p>
            <w:pPr>
              <w:pStyle w:val="ListParagraph"/>
              <w:numPr>
                <w:ilvl w:val="0"/>
                <w:numId w:val="3"/>
              </w:numPr>
            </w:pPr>
            <w:r>
              <w:rPr>
                <w:rStyle w:val="row-content-rich-text"/>
              </w:rPr>
              <w:t xml:space="preserve">high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have very high levels of kidney disease due to a range of risk factors and antecedents. Kidney disease contributes substantially to the high burden of ill health experienced by Indigenous Australians. Tests of a person’s urine and blood can identify most cases of chronic kidney disease when the disease is in its early stages, enabling treatment to prevent or slow down the progression. eGFR and ACR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2b0310920dc48ff">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264300f2c41d4208">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18 and over with:</w:t>
            </w:r>
          </w:p>
          <w:p>
            <w:pPr>
              <w:pStyle w:val="ListParagraph"/>
              <w:numPr>
                <w:ilvl w:val="0"/>
                <w:numId w:val="4"/>
              </w:numPr>
            </w:pPr>
            <w:r>
              <w:rPr>
                <w:rStyle w:val="row-content-rich-text"/>
              </w:rPr>
              <w:t xml:space="preserve">type 2 diabetes</w:t>
            </w:r>
          </w:p>
          <w:p>
            <w:pPr>
              <w:pStyle w:val="ListParagraph"/>
              <w:numPr>
                <w:ilvl w:val="0"/>
                <w:numId w:val="4"/>
              </w:numPr>
            </w:pPr>
            <w:r>
              <w:rPr>
                <w:rStyle w:val="row-content-rich-text"/>
              </w:rPr>
              <w:t xml:space="preserve">CVD</w:t>
            </w:r>
          </w:p>
          <w:p>
            <w:pPr>
              <w:pStyle w:val="ListParagraph"/>
              <w:numPr>
                <w:ilvl w:val="0"/>
                <w:numId w:val="4"/>
              </w:numPr>
            </w:pPr>
            <w:r>
              <w:rPr>
                <w:rStyle w:val="row-content-rich-text"/>
              </w:rPr>
              <w:t xml:space="preserve">type 2 diabetes and/or CVD</w:t>
            </w:r>
          </w:p>
          <w:p>
            <w:pPr>
              <w:spacing w:after="160"/>
            </w:pPr>
            <w:r>
              <w:rPr>
                <w:rStyle w:val="row-content-rich-text"/>
              </w:rPr>
              <w:t xml:space="preserve">who had both an eGFR (mL/min/1.73m²) and an ACR (mg/mmol) result recorded within the previous 12 months categorised as:</w:t>
            </w:r>
          </w:p>
          <w:p>
            <w:pPr>
              <w:pStyle w:val="ListParagraph"/>
              <w:numPr>
                <w:ilvl w:val="0"/>
                <w:numId w:val="5"/>
              </w:numPr>
            </w:pPr>
            <w:r>
              <w:rPr>
                <w:rStyle w:val="row-content-rich-text"/>
              </w:rPr>
              <w:t xml:space="preserve">Normal risk:</w:t>
            </w:r>
            <w:r>
              <w:br/>
            </w:r>
            <w:r>
              <w:rPr>
                <w:rStyle w:val="row-content-rich-text"/>
              </w:rPr>
              <w:t xml:space="preserve">        • Males: eGFR ≥60 and ACR &lt;2.5</w:t>
            </w:r>
          </w:p>
          <w:p>
            <w:pPr>
              <w:spacing w:after="160"/>
            </w:pPr>
            <w:r>
              <w:rPr>
                <w:rStyle w:val="row-content-rich-text"/>
              </w:rPr>
              <w:t xml:space="preserve">                   OR</w:t>
            </w:r>
          </w:p>
          <w:p>
            <w:pPr>
              <w:pStyle w:val="ListParagraph"/>
              <w:numPr>
                <w:ilvl w:val="0"/>
                <w:numId w:val="6"/>
              </w:numPr>
            </w:pPr>
            <w:r>
              <w:br/>
            </w:r>
            <w:r>
              <w:rPr>
                <w:rStyle w:val="row-content-rich-text"/>
              </w:rPr>
              <w:t xml:space="preserve">        • Females: eGFR ≥60 and ACR &lt;3.5.</w:t>
            </w:r>
          </w:p>
          <w:p>
            <w:pPr>
              <w:pStyle w:val="ListParagraph"/>
              <w:numPr>
                <w:ilvl w:val="0"/>
                <w:numId w:val="6"/>
              </w:numPr>
            </w:pPr>
            <w:r>
              <w:rPr>
                <w:rStyle w:val="row-content-rich-text"/>
              </w:rPr>
              <w:t xml:space="preserve">Low risk:</w:t>
            </w:r>
            <w:r>
              <w:br/>
            </w:r>
            <w:r>
              <w:rPr>
                <w:rStyle w:val="row-content-rich-text"/>
              </w:rPr>
              <w:t xml:space="preserve">        • Males:</w:t>
            </w:r>
            <w:r>
              <w:br/>
            </w:r>
            <w:r>
              <w:rPr>
                <w:rStyle w:val="row-content-rich-text"/>
              </w:rPr>
              <w:t xml:space="preserve">                • eGFR ≥60 and ACR 2.5–25 OR</w:t>
            </w:r>
            <w:r>
              <w:br/>
            </w:r>
            <w:r>
              <w:rPr>
                <w:rStyle w:val="row-content-rich-text"/>
              </w:rPr>
              <w:t xml:space="preserve">                • eGFR 45–&lt;60 and ACR &lt;2.5</w:t>
            </w:r>
          </w:p>
          <w:p>
            <w:pPr>
              <w:spacing w:after="160"/>
            </w:pPr>
            <w:r>
              <w:rPr>
                <w:rStyle w:val="row-content-rich-text"/>
              </w:rPr>
              <w:t xml:space="preserve">                    OR</w:t>
            </w:r>
          </w:p>
          <w:p>
            <w:pPr>
              <w:pStyle w:val="ListParagraph"/>
              <w:numPr>
                <w:ilvl w:val="0"/>
                <w:numId w:val="7"/>
              </w:numPr>
            </w:pPr>
            <w:r>
              <w:br/>
            </w:r>
            <w:r>
              <w:rPr>
                <w:rStyle w:val="row-content-rich-text"/>
              </w:rPr>
              <w:t xml:space="preserve">        • Females: </w:t>
            </w:r>
            <w:r>
              <w:br/>
            </w:r>
            <w:r>
              <w:rPr>
                <w:rStyle w:val="row-content-rich-text"/>
              </w:rPr>
              <w:t xml:space="preserve">                • eGFR ≥60 and ACR 3.5–35 OR</w:t>
            </w:r>
            <w:r>
              <w:br/>
            </w:r>
            <w:r>
              <w:rPr>
                <w:rStyle w:val="row-content-rich-text"/>
              </w:rPr>
              <w:t xml:space="preserve">                • eGFR 45–&lt;60 and ACR &lt;3.5.</w:t>
            </w:r>
          </w:p>
          <w:p>
            <w:pPr>
              <w:pStyle w:val="ListParagraph"/>
              <w:numPr>
                <w:ilvl w:val="0"/>
                <w:numId w:val="7"/>
              </w:numPr>
            </w:pPr>
            <w:r>
              <w:rPr>
                <w:rStyle w:val="row-content-rich-text"/>
              </w:rPr>
              <w:t xml:space="preserve">Moderate risk:</w:t>
            </w:r>
            <w:r>
              <w:br/>
            </w:r>
            <w:r>
              <w:rPr>
                <w:rStyle w:val="row-content-rich-text"/>
              </w:rPr>
              <w:t xml:space="preserve">        • Males:</w:t>
            </w:r>
            <w:r>
              <w:br/>
            </w:r>
            <w:r>
              <w:rPr>
                <w:rStyle w:val="row-content-rich-text"/>
              </w:rPr>
              <w:t xml:space="preserve">                • eGFR 45–&lt;60 and ACR 2.5–25 OR</w:t>
            </w:r>
            <w:r>
              <w:br/>
            </w:r>
            <w:r>
              <w:rPr>
                <w:rStyle w:val="row-content-rich-text"/>
              </w:rPr>
              <w:t xml:space="preserve">                • eGFR 30–&lt;45 and ACR ≤25</w:t>
            </w:r>
          </w:p>
          <w:p>
            <w:pPr>
              <w:spacing w:after="160"/>
            </w:pPr>
            <w:r>
              <w:rPr>
                <w:rStyle w:val="row-content-rich-text"/>
              </w:rPr>
              <w:t xml:space="preserve">                   OR</w:t>
            </w:r>
          </w:p>
          <w:p>
            <w:pPr>
              <w:pStyle w:val="ListParagraph"/>
              <w:numPr>
                <w:ilvl w:val="0"/>
                <w:numId w:val="8"/>
              </w:numPr>
            </w:pPr>
            <w:r>
              <w:br/>
            </w:r>
            <w:r>
              <w:rPr>
                <w:rStyle w:val="row-content-rich-text"/>
              </w:rPr>
              <w:t xml:space="preserve">        • Females:</w:t>
            </w:r>
            <w:r>
              <w:br/>
            </w:r>
            <w:r>
              <w:rPr>
                <w:rStyle w:val="row-content-rich-text"/>
              </w:rPr>
              <w:t xml:space="preserve">        • eGFR 45–&lt;60 and ACR 3.5–35 OR</w:t>
            </w:r>
            <w:r>
              <w:br/>
            </w:r>
            <w:r>
              <w:rPr>
                <w:rStyle w:val="row-content-rich-text"/>
              </w:rPr>
              <w:t xml:space="preserve">        • eGFR 30–&lt;45 and ACR ≤35.</w:t>
            </w:r>
          </w:p>
          <w:p>
            <w:pPr>
              <w:pStyle w:val="ListParagraph"/>
              <w:numPr>
                <w:ilvl w:val="0"/>
                <w:numId w:val="8"/>
              </w:numPr>
            </w:pPr>
            <w:r>
              <w:rPr>
                <w:rStyle w:val="row-content-rich-text"/>
              </w:rPr>
              <w:t xml:space="preserve">High risk:</w:t>
            </w:r>
            <w:r>
              <w:br/>
            </w:r>
            <w:r>
              <w:rPr>
                <w:rStyle w:val="row-content-rich-text"/>
              </w:rPr>
              <w:t xml:space="preserve">        • Males:</w:t>
            </w:r>
            <w:r>
              <w:br/>
            </w:r>
            <w:r>
              <w:rPr>
                <w:rStyle w:val="row-content-rich-text"/>
              </w:rPr>
              <w:t xml:space="preserve">                • eGFR ≥30 and ACR &gt;25 OR</w:t>
            </w:r>
            <w:r>
              <w:br/>
            </w:r>
            <w:r>
              <w:rPr>
                <w:rStyle w:val="row-content-rich-text"/>
              </w:rPr>
              <w:t xml:space="preserve">                • eGFR &lt;30 and any ACR result</w:t>
            </w:r>
          </w:p>
          <w:p>
            <w:pPr>
              <w:spacing w:after="160"/>
            </w:pPr>
            <w:r>
              <w:rPr>
                <w:rStyle w:val="row-content-rich-text"/>
              </w:rPr>
              <w:t xml:space="preserve">                    OR</w:t>
            </w:r>
          </w:p>
          <w:p>
            <w:pPr>
              <w:pStyle w:val="ListParagraph"/>
              <w:numPr>
                <w:ilvl w:val="0"/>
                <w:numId w:val="9"/>
              </w:numPr>
            </w:pPr>
            <w:r>
              <w:br/>
            </w:r>
            <w:r>
              <w:rPr>
                <w:rStyle w:val="row-content-rich-text"/>
              </w:rPr>
              <w:t xml:space="preserve">        • Females:</w:t>
            </w:r>
            <w:r>
              <w:br/>
            </w:r>
            <w:r>
              <w:rPr>
                <w:rStyle w:val="row-content-rich-text"/>
              </w:rPr>
              <w:t xml:space="preserve">                • eGFR ≥30 and ACR &gt;35 OR</w:t>
            </w:r>
            <w:r>
              <w:br/>
            </w:r>
            <w:r>
              <w:rPr>
                <w:rStyle w:val="row-content-rich-text"/>
              </w:rPr>
              <w:t xml:space="preserve">                • eGFR &lt;30 and any ACR result.</w:t>
            </w:r>
          </w:p>
          <w:p>
            <w:pPr>
              <w:spacing w:after="160"/>
            </w:pPr>
            <w:r>
              <w:rPr>
                <w:rStyle w:val="row-content-rich-text"/>
              </w:rPr>
              <w:t xml:space="preserve">Presented as a percentage.</w:t>
            </w:r>
          </w:p>
          <w:p>
            <w:pPr>
              <w:spacing w:after="160"/>
            </w:pPr>
            <w:r>
              <w:rPr>
                <w:rStyle w:val="row-content-rich-text"/>
              </w:rPr>
              <w:t xml:space="preserve">Count is of people, not tests.</w:t>
            </w:r>
          </w:p>
          <w:p>
            <w:pPr>
              <w:spacing w:after="160"/>
            </w:pPr>
            <w:r>
              <w:rPr>
                <w:rStyle w:val="row-content-rich-text"/>
              </w:rPr>
              <w:t xml:space="preserve">Consider only the most recent eGFR and ACR tests.</w:t>
            </w:r>
          </w:p>
          <w:p>
            <w:pPr>
              <w:spacing w:after="160"/>
            </w:pPr>
            <w:r>
              <w:rPr>
                <w:rStyle w:val="row-content-rich-text"/>
              </w:rPr>
              <w:t xml:space="preserve">Calculated separately for the specified chronic disease and risk categories.</w:t>
            </w:r>
          </w:p>
          <w:p>
            <w:pPr>
              <w:spacing w:after="160"/>
            </w:pPr>
            <w:r>
              <w:rPr>
                <w:rStyle w:val="row-content-rich-text"/>
              </w:rPr>
              <w:t xml:space="preserve">Clients must have both a valid eGFR and a valid ACR test recorded to be included in this indicator. It is acknowledged that this will undercount those with high risk who could be classified based on the result of either an eGFR or an ACR test.</w:t>
            </w:r>
          </w:p>
          <w:p>
            <w:pPr>
              <w:spacing w:after="160"/>
            </w:pPr>
            <w:r>
              <w:rPr>
                <w:rStyle w:val="row-content-rich-text"/>
              </w:rPr>
              <w:t xml:space="preserve">Valid test result recorded: A valid test result is a numeric value that can be used to classify test results into the specified risk categories. Negative, non-numerical and null values are not considered to be valid results. It is acknowledged that inclusion of only valid test results may undercount the number of tests that were conducted, for example, because of known issues with pathology recording and uploading.</w:t>
            </w:r>
          </w:p>
          <w:p>
            <w:pPr>
              <w:spacing w:after="160"/>
            </w:pPr>
            <w:r>
              <w:rPr>
                <w:rStyle w:val="row-content-rich-text"/>
              </w:rPr>
              <w:t xml:space="preserve">Kidney function tests result: Categorisation refers to the risk of progressing to end stage kidney disease and the need for kidney replacement therapy (for example, dialysis or transplantation).</w:t>
            </w:r>
          </w:p>
          <w:p>
            <w:pPr>
              <w:spacing w:after="160"/>
            </w:pPr>
            <w:r>
              <w:rPr>
                <w:rStyle w:val="row-content-rich-text"/>
              </w:rPr>
              <w:t xml:space="preserve">Type 2 diabetes AND/OR CVD includes clients with:</w:t>
            </w:r>
          </w:p>
          <w:p>
            <w:pPr>
              <w:pStyle w:val="ListParagraph"/>
              <w:numPr>
                <w:ilvl w:val="0"/>
                <w:numId w:val="10"/>
              </w:numPr>
            </w:pPr>
            <w:r>
              <w:rPr>
                <w:rStyle w:val="row-content-rich-text"/>
              </w:rPr>
              <w:t xml:space="preserve">type 2 diabetes only</w:t>
            </w:r>
          </w:p>
          <w:p>
            <w:pPr>
              <w:pStyle w:val="ListParagraph"/>
              <w:numPr>
                <w:ilvl w:val="0"/>
                <w:numId w:val="10"/>
              </w:numPr>
            </w:pPr>
            <w:r>
              <w:rPr>
                <w:rStyle w:val="row-content-rich-text"/>
              </w:rPr>
              <w:t xml:space="preserve">CVD only</w:t>
            </w:r>
          </w:p>
          <w:p>
            <w:pPr>
              <w:pStyle w:val="ListParagraph"/>
              <w:numPr>
                <w:ilvl w:val="0"/>
                <w:numId w:val="10"/>
              </w:numPr>
            </w:pPr>
            <w:r>
              <w:rPr>
                <w:rStyle w:val="row-content-rich-text"/>
              </w:rPr>
              <w:t xml:space="preserve">type 2 diabetes and CVD.</w:t>
            </w:r>
          </w:p>
          <w:p>
            <w:pPr/>
            <w:r>
              <w:rPr>
                <w:rStyle w:val="row-content-rich-text"/>
              </w:rPr>
              <w:t xml:space="preserve">Count clients with either or both of these conditions once only. For example, count a client with both type 2 diabetes and CVD once, not twice.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18 and over with type 2 diabetes who had both an eGFR and an ACR result recorded within the previous 12 months which indicated normal risk.</w:t>
            </w:r>
          </w:p>
          <w:p>
            <w:pPr>
              <w:spacing w:after="160"/>
            </w:pPr>
            <w:r>
              <w:rPr>
                <w:rStyle w:val="row-content-rich-text"/>
              </w:rPr>
              <w:t xml:space="preserve">Calculation B: Number of Indigenous regular clients aged 18 and over with type 2 diabetes who had both an eGFR and an ACR result recorded within the previous 12 months which indicated low risk.</w:t>
            </w:r>
          </w:p>
          <w:p>
            <w:pPr>
              <w:spacing w:after="160"/>
            </w:pPr>
            <w:r>
              <w:rPr>
                <w:rStyle w:val="row-content-rich-text"/>
              </w:rPr>
              <w:t xml:space="preserve">Calculation C: Number of Indigenous regular clients aged 18 and over with type 2 diabetes who had both an eGFR and an ACR result recorded within the previous 12 months which indicated moderate risk.</w:t>
            </w:r>
          </w:p>
          <w:p>
            <w:pPr>
              <w:spacing w:after="160"/>
            </w:pPr>
            <w:r>
              <w:rPr>
                <w:rStyle w:val="row-content-rich-text"/>
              </w:rPr>
              <w:t xml:space="preserve">Calculation D: Number of Indigenous regular clients aged 18 and over with type 2 diabetes who had both an eGFR and an ACR result recorded within the previous 12 months which indicated high risk.</w:t>
            </w:r>
          </w:p>
          <w:p>
            <w:pPr>
              <w:spacing w:after="160"/>
            </w:pPr>
            <w:r>
              <w:rPr>
                <w:rStyle w:val="row-content-rich-text"/>
              </w:rPr>
              <w:t xml:space="preserve">Calculation E: Number of Indigenous regular clients aged 18 and over with CVD who had both an eGFR and an ACR result recorded within the previous 12 months which indicated normal risk.</w:t>
            </w:r>
          </w:p>
          <w:p>
            <w:pPr>
              <w:spacing w:after="160"/>
            </w:pPr>
            <w:r>
              <w:rPr>
                <w:rStyle w:val="row-content-rich-text"/>
              </w:rPr>
              <w:t xml:space="preserve">Calculation F: Number of Indigenous regular clients aged 18 and over with CVD who had both an eGFR and an ACR result recorded within the previous 12 months which indicated low risk.</w:t>
            </w:r>
          </w:p>
          <w:p>
            <w:pPr>
              <w:spacing w:after="160"/>
            </w:pPr>
            <w:r>
              <w:rPr>
                <w:rStyle w:val="row-content-rich-text"/>
              </w:rPr>
              <w:t xml:space="preserve">Calculation G: Number of Indigenous regular clients aged 18 and over with CVD who had both an eGFR and an ACR result recorded within the previous 12 months which indicated moderate risk.</w:t>
            </w:r>
          </w:p>
          <w:p>
            <w:pPr>
              <w:spacing w:after="160"/>
            </w:pPr>
            <w:r>
              <w:rPr>
                <w:rStyle w:val="row-content-rich-text"/>
              </w:rPr>
              <w:t xml:space="preserve">Calculation H: Number of Indigenous regular clients aged 18 and over with CVD who had both an eGFR and an ACR result recorded within the previous 12 months which indicated high risk.</w:t>
            </w:r>
          </w:p>
          <w:p>
            <w:pPr>
              <w:spacing w:after="160"/>
            </w:pPr>
            <w:r>
              <w:rPr>
                <w:rStyle w:val="row-content-rich-text"/>
              </w:rPr>
              <w:t xml:space="preserve">Calculation I: Number of Indigenous regular clients aged 18 and over with type 2 diabetes AND/OR CVD who had both an eGFR and an ACR result recorded within the previous 12 months which indicated normal risk.</w:t>
            </w:r>
          </w:p>
          <w:p>
            <w:pPr>
              <w:spacing w:after="160"/>
            </w:pPr>
            <w:r>
              <w:rPr>
                <w:rStyle w:val="row-content-rich-text"/>
              </w:rPr>
              <w:t xml:space="preserve">Calculation J: Number of Indigenous regular clients aged 18 and over with type 2 diabetes AND/OR CVD who had both an eGFR and an ACR result recorded within the previous 12 months which indicated low risk.</w:t>
            </w:r>
          </w:p>
          <w:p>
            <w:pPr>
              <w:spacing w:after="160"/>
            </w:pPr>
            <w:r>
              <w:rPr>
                <w:rStyle w:val="row-content-rich-text"/>
              </w:rPr>
              <w:t xml:space="preserve">Calculation K: Number of Indigenous regular clients aged 18 and over with type 2 diabetes AND/OR CVD who had both an eGFR and an ACR result recorded within the previous 12 months which indicated moderate risk.</w:t>
            </w:r>
          </w:p>
          <w:p>
            <w:pPr/>
            <w:r>
              <w:rPr>
                <w:rStyle w:val="row-content-rich-text"/>
              </w:rPr>
              <w:t xml:space="preserve">Calculation L: Number of Indigenous regular clients aged 18 and over with type 2 diabetes AND/OR CVD who had both an eGFR and an ACR result recorded within the previous 12 months which indicated high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5dbf196c9c46f3">
              <w:r>
                <w:rPr>
                  <w:rStyle w:val="Hyperlink"/>
                </w:rPr>
                <w:t xml:space="preserve">Person—diabetes mellitus status, code NN</w:t>
              </w:r>
            </w:hyperlink>
          </w:p>
          <w:p>
            <w:r>
              <w:rPr>
                <w:rStyle w:val="row-content"/>
                <w:b/>
              </w:rPr>
              <w:t xml:space="preserve">Data Source</w:t>
            </w:r>
          </w:p>
          <w:p>
            <w:hyperlink w:history="true" r:id="R100bf9efcc754b3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c7630866ebb49ef">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fac3187d25c449e7">
              <w:r>
                <w:rPr>
                  <w:rStyle w:val="Hyperlink"/>
                </w:rPr>
                <w:t xml:space="preserve">Person—age, total years N[NN]</w:t>
              </w:r>
            </w:hyperlink>
          </w:p>
          <w:p>
            <w:r>
              <w:rPr>
                <w:rStyle w:val="row-content"/>
                <w:b/>
              </w:rPr>
              <w:t xml:space="preserve">Data Source</w:t>
            </w:r>
          </w:p>
          <w:p>
            <w:hyperlink w:history="true" r:id="R434db8109e7e46a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dc8f10848a74c17">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78114b484100407e">
              <w:r>
                <w:rPr>
                  <w:rStyle w:val="Hyperlink"/>
                </w:rPr>
                <w:t xml:space="preserve">Person—cardiovascular disease recorded indicator, yes/no code N</w:t>
              </w:r>
            </w:hyperlink>
          </w:p>
          <w:p>
            <w:r>
              <w:rPr>
                <w:rStyle w:val="row-content"/>
                <w:b/>
              </w:rPr>
              <w:t xml:space="preserve">Data Source</w:t>
            </w:r>
          </w:p>
          <w:p>
            <w:hyperlink w:history="true" r:id="Rd17592d299824ed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dda36bb115e41da">
              <w:r>
                <w:rPr>
                  <w:rStyle w:val="Hyperlink"/>
                </w:rPr>
                <w:t xml:space="preserve">Indigenous-specific primary health care NBEDS June 2022</w:t>
              </w:r>
            </w:hyperlink>
          </w:p>
          <w:p>
            <w:r>
              <w:rPr>
                <w:rStyle w:val="row-content"/>
                <w:b/>
                <w:color w:val="000000"/>
              </w:rPr>
              <w:t xml:space="preserve">Data Element / Data Set</w:t>
            </w:r>
          </w:p>
          <w:p>
            <w:hyperlink w:history="true" r:id="Re33b7a8b86f14bfc">
              <w:r>
                <w:rPr>
                  <w:rStyle w:val="Hyperlink"/>
                </w:rPr>
                <w:t xml:space="preserve">Person—Indigenous status, code N</w:t>
              </w:r>
            </w:hyperlink>
          </w:p>
          <w:p>
            <w:r>
              <w:rPr>
                <w:rStyle w:val="row-content"/>
                <w:b/>
              </w:rPr>
              <w:t xml:space="preserve">Data Source</w:t>
            </w:r>
          </w:p>
          <w:p>
            <w:hyperlink w:history="true" r:id="R53b8e4ca9e0849d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1261ec4f51a4608">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6648a032d444c88">
              <w:r>
                <w:rPr>
                  <w:rStyle w:val="Hyperlink"/>
                </w:rPr>
                <w:t xml:space="preserve">Person—sex, code X</w:t>
              </w:r>
            </w:hyperlink>
          </w:p>
          <w:p>
            <w:r>
              <w:rPr>
                <w:rStyle w:val="row-content"/>
                <w:b/>
              </w:rPr>
              <w:t xml:space="preserve">Data Source</w:t>
            </w:r>
          </w:p>
          <w:p>
            <w:hyperlink w:history="true" r:id="Rc8869ceb4517421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0aa5cac0ecb4544">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85221dbbf1044185">
              <w:r>
                <w:rPr>
                  <w:rStyle w:val="Hyperlink"/>
                </w:rPr>
                <w:t xml:space="preserve">Person—chronic kidney disease risk, categories code N</w:t>
              </w:r>
            </w:hyperlink>
          </w:p>
          <w:p>
            <w:r>
              <w:rPr>
                <w:rStyle w:val="row-content"/>
                <w:b/>
              </w:rPr>
              <w:t xml:space="preserve">Data Source</w:t>
            </w:r>
          </w:p>
          <w:p>
            <w:hyperlink w:history="true" r:id="R25d0271e56ad456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cdbfdf3ebd740ba">
              <w:r>
                <w:rPr>
                  <w:rStyle w:val="Hyperlink"/>
                </w:rPr>
                <w:t xml:space="preserve">Indigenous-specific primary health care NBEDS June 2022</w:t>
              </w:r>
            </w:hyperlink>
          </w:p>
          <w:p>
            <w:r>
              <w:rPr>
                <w:rStyle w:val="row-content"/>
                <w:b/>
                <w:color w:val="000000"/>
              </w:rPr>
              <w:t xml:space="preserve">Data Element / Data Set</w:t>
            </w:r>
          </w:p>
          <w:p>
            <w:hyperlink w:history="true" r:id="R4cf2d5e19fb645c0">
              <w:r>
                <w:rPr>
                  <w:rStyle w:val="Hyperlink"/>
                </w:rPr>
                <w:t xml:space="preserve">Person—regular client indicator, yes/no code N</w:t>
              </w:r>
            </w:hyperlink>
          </w:p>
          <w:p>
            <w:r>
              <w:rPr>
                <w:rStyle w:val="row-content"/>
                <w:b/>
              </w:rPr>
              <w:t xml:space="preserve">Data Source</w:t>
            </w:r>
          </w:p>
          <w:p>
            <w:hyperlink w:history="true" r:id="Rcb23ac94e4744f4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6a71619f5834f63">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and D: Total number of Indigenous regular clients aged 18 and over with type 2 diabetes who had both an eGFR and an ACR result recorded within the previous 12 months.</w:t>
            </w:r>
          </w:p>
          <w:p>
            <w:pPr>
              <w:spacing w:after="160"/>
            </w:pPr>
            <w:r>
              <w:rPr>
                <w:rStyle w:val="row-content-rich-text"/>
              </w:rPr>
              <w:t xml:space="preserve">Calculation E, F, G and H: Total number of Indigenous regular clients aged 18 and over with CVD who had both an eGFR and an ACR result recorded within the previous 12 months.</w:t>
            </w:r>
          </w:p>
          <w:p>
            <w:pPr/>
            <w:r>
              <w:rPr>
                <w:rStyle w:val="row-content-rich-text"/>
              </w:rPr>
              <w:t xml:space="preserve">Calculation I, J, K and L: Total number of Indigenous regular clients aged 18 and over with type 2 diabetes AND/OR CVD who had both an eGFR and an ACR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073028b8943412f">
              <w:r>
                <w:rPr>
                  <w:rStyle w:val="Hyperlink"/>
                </w:rPr>
                <w:t xml:space="preserve">Person—diabetes mellitus status, code NN</w:t>
              </w:r>
            </w:hyperlink>
          </w:p>
          <w:p>
            <w:r>
              <w:rPr>
                <w:rStyle w:val="row-content"/>
                <w:b/>
              </w:rPr>
              <w:t xml:space="preserve">Data Source</w:t>
            </w:r>
          </w:p>
          <w:p>
            <w:hyperlink w:history="true" r:id="R4922145bd71b4ca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47a01d4d48f4e39">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3a581c7c0ddb460e">
              <w:r>
                <w:rPr>
                  <w:rStyle w:val="Hyperlink"/>
                </w:rPr>
                <w:t xml:space="preserve">Person—age, total years N[NN]</w:t>
              </w:r>
            </w:hyperlink>
          </w:p>
          <w:p>
            <w:r>
              <w:rPr>
                <w:rStyle w:val="row-content"/>
                <w:b/>
              </w:rPr>
              <w:t xml:space="preserve">Data Source</w:t>
            </w:r>
          </w:p>
          <w:p>
            <w:hyperlink w:history="true" r:id="Rc1064d3fb1ce409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9f4013a21a14ee6">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0443aa5acc9d4a33">
              <w:r>
                <w:rPr>
                  <w:rStyle w:val="Hyperlink"/>
                </w:rPr>
                <w:t xml:space="preserve">Person—estimated glomerular filtration rate (eGFR) recorded indicator, yes/no code N</w:t>
              </w:r>
            </w:hyperlink>
          </w:p>
          <w:p>
            <w:r>
              <w:rPr>
                <w:rStyle w:val="row-content"/>
                <w:b/>
              </w:rPr>
              <w:t xml:space="preserve">Data Source</w:t>
            </w:r>
          </w:p>
          <w:p>
            <w:hyperlink w:history="true" r:id="R94e2d44fdb094b3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8233dc497b8466d">
              <w:r>
                <w:rPr>
                  <w:rStyle w:val="Hyperlink"/>
                </w:rPr>
                <w:t xml:space="preserve">Indigenous-specific primary health care NBEDS June 2022</w:t>
              </w:r>
            </w:hyperlink>
          </w:p>
          <w:p>
            <w:r>
              <w:rPr>
                <w:rStyle w:val="row-content"/>
                <w:b/>
                <w:color w:val="000000"/>
              </w:rPr>
              <w:t xml:space="preserve">Data Element / Data Set</w:t>
            </w:r>
          </w:p>
          <w:p>
            <w:hyperlink w:history="true" r:id="Rde4cb946f70043e0">
              <w:r>
                <w:rPr>
                  <w:rStyle w:val="Hyperlink"/>
                </w:rPr>
                <w:t xml:space="preserve">Person—cardiovascular disease recorded indicator, yes/no code N</w:t>
              </w:r>
            </w:hyperlink>
          </w:p>
          <w:p>
            <w:r>
              <w:rPr>
                <w:rStyle w:val="row-content"/>
                <w:b/>
              </w:rPr>
              <w:t xml:space="preserve">Data Source</w:t>
            </w:r>
          </w:p>
          <w:p>
            <w:hyperlink w:history="true" r:id="Rbd963e9e98814b2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9261ed990824e08">
              <w:r>
                <w:rPr>
                  <w:rStyle w:val="Hyperlink"/>
                </w:rPr>
                <w:t xml:space="preserve">Indigenous-specific primary health care NBEDS June 2022</w:t>
              </w:r>
            </w:hyperlink>
          </w:p>
          <w:p>
            <w:r>
              <w:rPr>
                <w:rStyle w:val="row-content"/>
                <w:b/>
                <w:color w:val="000000"/>
              </w:rPr>
              <w:t xml:space="preserve">Data Element / Data Set</w:t>
            </w:r>
          </w:p>
          <w:p>
            <w:hyperlink w:history="true" r:id="R7df6c30c53fc4c0e">
              <w:r>
                <w:rPr>
                  <w:rStyle w:val="Hyperlink"/>
                </w:rPr>
                <w:t xml:space="preserve">Person—Indigenous status, code N</w:t>
              </w:r>
            </w:hyperlink>
          </w:p>
          <w:p>
            <w:r>
              <w:rPr>
                <w:rStyle w:val="row-content"/>
                <w:b/>
              </w:rPr>
              <w:t xml:space="preserve">Data Source</w:t>
            </w:r>
          </w:p>
          <w:p>
            <w:hyperlink w:history="true" r:id="R95e665157bc94d7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4f1ffe472e345ca">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54404035a44447b">
              <w:r>
                <w:rPr>
                  <w:rStyle w:val="Hyperlink"/>
                </w:rPr>
                <w:t xml:space="preserve">Person—sex, code X</w:t>
              </w:r>
            </w:hyperlink>
          </w:p>
          <w:p>
            <w:r>
              <w:rPr>
                <w:rStyle w:val="row-content"/>
                <w:b/>
              </w:rPr>
              <w:t xml:space="preserve">Data Source</w:t>
            </w:r>
          </w:p>
          <w:p>
            <w:hyperlink w:history="true" r:id="Rc77698d2e90f402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818ea027bc24926">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360ed15d54264590">
              <w:r>
                <w:rPr>
                  <w:rStyle w:val="Hyperlink"/>
                </w:rPr>
                <w:t xml:space="preserve">Person—regular client indicator, yes/no code N</w:t>
              </w:r>
            </w:hyperlink>
          </w:p>
          <w:p>
            <w:r>
              <w:rPr>
                <w:rStyle w:val="row-content"/>
                <w:b/>
              </w:rPr>
              <w:t xml:space="preserve">Data Source</w:t>
            </w:r>
          </w:p>
          <w:p>
            <w:hyperlink w:history="true" r:id="R0fba84cb69ae476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eb8562d58844f3e">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984b045741b4cff">
              <w:r>
                <w:rPr>
                  <w:rStyle w:val="Hyperlink"/>
                </w:rPr>
                <w:t xml:space="preserve">Person—age, total years N[NN]</w:t>
              </w:r>
            </w:hyperlink>
          </w:p>
          <w:p>
            <w:r>
              <w:rPr>
                <w:rStyle w:val="row-content"/>
                <w:b/>
              </w:rPr>
              <w:t xml:space="preserve">Data Source</w:t>
            </w:r>
          </w:p>
          <w:p>
            <w:hyperlink w:history="true" r:id="Rdbd52100d930417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ba914594e454e8d">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1fd94d54758b4a81">
              <w:r>
                <w:rPr>
                  <w:rStyle w:val="Hyperlink"/>
                </w:rPr>
                <w:t xml:space="preserve">Person—sex, code X</w:t>
              </w:r>
            </w:hyperlink>
          </w:p>
          <w:p>
            <w:r>
              <w:rPr>
                <w:rStyle w:val="row-content"/>
                <w:b/>
              </w:rPr>
              <w:t xml:space="preserve">Data Source</w:t>
            </w:r>
          </w:p>
          <w:p>
            <w:hyperlink w:history="true" r:id="R6db2864574fc4dd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8d948b2bd4548c0">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b8dcd0659d54c1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2bbce6ee2774680">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a9e130701ae34b5d">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Kidney Health Australia (2020) </w:t>
            </w:r>
            <w:hyperlink w:history="true" r:id="R8205f8bb3d444d42">
              <w:r>
                <w:rPr>
                  <w:rStyle w:val="Hyperlink"/>
                  <w:i/>
                </w:rPr>
                <w:t xml:space="preserve">Chronic Kidney Disease (CKD) management in primary care</w:t>
              </w:r>
            </w:hyperlink>
            <w:r>
              <w:rPr>
                <w:rStyle w:val="row-content-rich-text"/>
              </w:rPr>
              <w:t xml:space="preserve">, 4th edn, Kidney Health Australia, Melbourne, accessed 20 December 2021.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c0e0705a6c4a54">
              <w:r>
                <w:rPr>
                  <w:rStyle w:val="Hyperlink"/>
                </w:rPr>
                <w:t xml:space="preserve">Indigenous-specific primary health care: PI19b-Proportion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68d226c157974d7c">
              <w:r>
                <w:rPr>
                  <w:rStyle w:val="Hyperlink"/>
                  <w:color w:val="244061"/>
                </w:rPr>
                <w:t xml:space="preserve">Indigenous</w:t>
              </w:r>
            </w:hyperlink>
            <w:r>
              <w:rPr>
                <w:rStyle w:val="row-content"/>
                <w:color w:val="244061"/>
              </w:rPr>
              <w:t xml:space="preserve">, Standard 03/07/2022</w:t>
            </w:r>
          </w:p>
          <w:p>
            <w:r>
              <w:br/>
            </w:r>
            <w:r>
              <w:rPr>
                <w:rStyle w:val="row-content"/>
              </w:rPr>
              <w:t xml:space="preserve">Has been superseded by </w:t>
            </w:r>
            <w:hyperlink w:history="true" r:id="R31c3a77c3e184f79">
              <w:r>
                <w:rPr>
                  <w:rStyle w:val="Hyperlink"/>
                </w:rPr>
                <w:t xml:space="preserve">Indigenous-specific primary health care: PI19b-Proportion of Indigenous regular clients with a selected chronic disease who have a kidney function result within a specified category, December 2022</w:t>
              </w:r>
            </w:hyperlink>
          </w:p>
          <w:p>
            <w:pPr>
              <w:spacing w:before="0" w:after="0"/>
            </w:pPr>
            <w:r>
              <w:rPr>
                <w:rStyle w:val="row-content"/>
                <w:color w:val="244061"/>
              </w:rPr>
              <w:t xml:space="preserve">       </w:t>
            </w:r>
            <w:hyperlink w:history="true" r:id="R647f2853e99e4061">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710ca1a5b2864e62">
              <w:r>
                <w:rPr>
                  <w:rStyle w:val="Hyperlink"/>
                </w:rPr>
                <w:t xml:space="preserve">Indigenous-specific primary health care: PI19a-Number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5796342013a84deb">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bc473286fa2348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02756b7b2145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473286fa234874" /><Relationship Type="http://schemas.openxmlformats.org/officeDocument/2006/relationships/header" Target="/word/header1.xml" Id="Rbaa9b5f0c522497b" /><Relationship Type="http://schemas.openxmlformats.org/officeDocument/2006/relationships/settings" Target="/word/settings.xml" Id="R612979f5c81c4eef" /><Relationship Type="http://schemas.openxmlformats.org/officeDocument/2006/relationships/styles" Target="/word/styles.xml" Id="R608e5dfb68d04d2d" /><Relationship Type="http://schemas.openxmlformats.org/officeDocument/2006/relationships/hyperlink" Target="https://meteor.aihw.gov.au/RegistrationAuthority/6" TargetMode="External" Id="Rc39f0336bb794c32" /><Relationship Type="http://schemas.openxmlformats.org/officeDocument/2006/relationships/hyperlink" Target="https://meteor.aihw.gov.au/content/755097" TargetMode="External" Id="R67041957194c4745" /><Relationship Type="http://schemas.openxmlformats.org/officeDocument/2006/relationships/numbering" Target="/word/numbering.xml" Id="Ra7a3b2e0401f403b" /><Relationship Type="http://schemas.openxmlformats.org/officeDocument/2006/relationships/hyperlink" Target="https://meteor.aihw.gov.au/content/770353" TargetMode="External" Id="Rf2b0310920dc48ff" /><Relationship Type="http://schemas.openxmlformats.org/officeDocument/2006/relationships/hyperlink" Target="https://meteor.aihw.gov.au/RegistrationAuthority/6" TargetMode="External" Id="R264300f2c41d4208" /><Relationship Type="http://schemas.openxmlformats.org/officeDocument/2006/relationships/hyperlink" Target="https://meteor.aihw.gov.au/content/270194" TargetMode="External" Id="Rca5dbf196c9c46f3" /><Relationship Type="http://schemas.openxmlformats.org/officeDocument/2006/relationships/hyperlink" Target="https://meteor.aihw.gov.au/content/737914" TargetMode="External" Id="R100bf9efcc754b34" /><Relationship Type="http://schemas.openxmlformats.org/officeDocument/2006/relationships/hyperlink" Target="https://meteor.aihw.gov.au/content/770355" TargetMode="External" Id="R4c7630866ebb49ef" /><Relationship Type="http://schemas.openxmlformats.org/officeDocument/2006/relationships/hyperlink" Target="https://meteor.aihw.gov.au/content/303794" TargetMode="External" Id="Rfac3187d25c449e7" /><Relationship Type="http://schemas.openxmlformats.org/officeDocument/2006/relationships/hyperlink" Target="https://meteor.aihw.gov.au/content/737914" TargetMode="External" Id="R434db8109e7e46aa" /><Relationship Type="http://schemas.openxmlformats.org/officeDocument/2006/relationships/hyperlink" Target="https://meteor.aihw.gov.au/content/770355" TargetMode="External" Id="R1dc8f10848a74c17" /><Relationship Type="http://schemas.openxmlformats.org/officeDocument/2006/relationships/hyperlink" Target="https://meteor.aihw.gov.au/content/465948" TargetMode="External" Id="R78114b484100407e" /><Relationship Type="http://schemas.openxmlformats.org/officeDocument/2006/relationships/hyperlink" Target="https://meteor.aihw.gov.au/content/737914" TargetMode="External" Id="Rd17592d299824edf" /><Relationship Type="http://schemas.openxmlformats.org/officeDocument/2006/relationships/hyperlink" Target="https://meteor.aihw.gov.au/content/770355" TargetMode="External" Id="R4dda36bb115e41da" /><Relationship Type="http://schemas.openxmlformats.org/officeDocument/2006/relationships/hyperlink" Target="https://meteor.aihw.gov.au/content/602543" TargetMode="External" Id="Re33b7a8b86f14bfc" /><Relationship Type="http://schemas.openxmlformats.org/officeDocument/2006/relationships/hyperlink" Target="https://meteor.aihw.gov.au/content/737914" TargetMode="External" Id="R53b8e4ca9e0849dc" /><Relationship Type="http://schemas.openxmlformats.org/officeDocument/2006/relationships/hyperlink" Target="https://meteor.aihw.gov.au/content/770355" TargetMode="External" Id="R61261ec4f51a4608" /><Relationship Type="http://schemas.openxmlformats.org/officeDocument/2006/relationships/hyperlink" Target="https://meteor.aihw.gov.au/content/635126" TargetMode="External" Id="Rb6648a032d444c88" /><Relationship Type="http://schemas.openxmlformats.org/officeDocument/2006/relationships/hyperlink" Target="https://meteor.aihw.gov.au/content/737914" TargetMode="External" Id="Rc8869ceb45174213" /><Relationship Type="http://schemas.openxmlformats.org/officeDocument/2006/relationships/hyperlink" Target="https://meteor.aihw.gov.au/content/770355" TargetMode="External" Id="R90aa5cac0ecb4544" /><Relationship Type="http://schemas.openxmlformats.org/officeDocument/2006/relationships/hyperlink" Target="https://meteor.aihw.gov.au/content/773014" TargetMode="External" Id="R85221dbbf1044185" /><Relationship Type="http://schemas.openxmlformats.org/officeDocument/2006/relationships/hyperlink" Target="https://meteor.aihw.gov.au/content/737914" TargetMode="External" Id="R25d0271e56ad4566" /><Relationship Type="http://schemas.openxmlformats.org/officeDocument/2006/relationships/hyperlink" Target="https://meteor.aihw.gov.au/content/770355" TargetMode="External" Id="R4cdbfdf3ebd740ba" /><Relationship Type="http://schemas.openxmlformats.org/officeDocument/2006/relationships/hyperlink" Target="https://meteor.aihw.gov.au/content/777814" TargetMode="External" Id="R4cf2d5e19fb645c0" /><Relationship Type="http://schemas.openxmlformats.org/officeDocument/2006/relationships/hyperlink" Target="https://meteor.aihw.gov.au/content/737914" TargetMode="External" Id="Rcb23ac94e4744f4f" /><Relationship Type="http://schemas.openxmlformats.org/officeDocument/2006/relationships/hyperlink" Target="https://meteor.aihw.gov.au/content/770355" TargetMode="External" Id="R46a71619f5834f63" /><Relationship Type="http://schemas.openxmlformats.org/officeDocument/2006/relationships/hyperlink" Target="https://meteor.aihw.gov.au/content/270194" TargetMode="External" Id="R7073028b8943412f" /><Relationship Type="http://schemas.openxmlformats.org/officeDocument/2006/relationships/hyperlink" Target="https://meteor.aihw.gov.au/content/737914" TargetMode="External" Id="R4922145bd71b4ca1" /><Relationship Type="http://schemas.openxmlformats.org/officeDocument/2006/relationships/hyperlink" Target="https://meteor.aihw.gov.au/content/770355" TargetMode="External" Id="R847a01d4d48f4e39" /><Relationship Type="http://schemas.openxmlformats.org/officeDocument/2006/relationships/hyperlink" Target="https://meteor.aihw.gov.au/content/303794" TargetMode="External" Id="R3a581c7c0ddb460e" /><Relationship Type="http://schemas.openxmlformats.org/officeDocument/2006/relationships/hyperlink" Target="https://meteor.aihw.gov.au/content/737914" TargetMode="External" Id="Rc1064d3fb1ce4098" /><Relationship Type="http://schemas.openxmlformats.org/officeDocument/2006/relationships/hyperlink" Target="https://meteor.aihw.gov.au/content/770355" TargetMode="External" Id="R69f4013a21a14ee6" /><Relationship Type="http://schemas.openxmlformats.org/officeDocument/2006/relationships/hyperlink" Target="https://meteor.aihw.gov.au/content/464961" TargetMode="External" Id="R0443aa5acc9d4a33" /><Relationship Type="http://schemas.openxmlformats.org/officeDocument/2006/relationships/hyperlink" Target="https://meteor.aihw.gov.au/content/737914" TargetMode="External" Id="R94e2d44fdb094b32" /><Relationship Type="http://schemas.openxmlformats.org/officeDocument/2006/relationships/hyperlink" Target="https://meteor.aihw.gov.au/content/770355" TargetMode="External" Id="Rb8233dc497b8466d" /><Relationship Type="http://schemas.openxmlformats.org/officeDocument/2006/relationships/hyperlink" Target="https://meteor.aihw.gov.au/content/465948" TargetMode="External" Id="Rde4cb946f70043e0" /><Relationship Type="http://schemas.openxmlformats.org/officeDocument/2006/relationships/hyperlink" Target="https://meteor.aihw.gov.au/content/737914" TargetMode="External" Id="Rbd963e9e98814b2e" /><Relationship Type="http://schemas.openxmlformats.org/officeDocument/2006/relationships/hyperlink" Target="https://meteor.aihw.gov.au/content/770355" TargetMode="External" Id="R49261ed990824e08" /><Relationship Type="http://schemas.openxmlformats.org/officeDocument/2006/relationships/hyperlink" Target="https://meteor.aihw.gov.au/content/602543" TargetMode="External" Id="R7df6c30c53fc4c0e" /><Relationship Type="http://schemas.openxmlformats.org/officeDocument/2006/relationships/hyperlink" Target="https://meteor.aihw.gov.au/content/737914" TargetMode="External" Id="R95e665157bc94d7a" /><Relationship Type="http://schemas.openxmlformats.org/officeDocument/2006/relationships/hyperlink" Target="https://meteor.aihw.gov.au/content/770355" TargetMode="External" Id="Rf4f1ffe472e345ca" /><Relationship Type="http://schemas.openxmlformats.org/officeDocument/2006/relationships/hyperlink" Target="https://meteor.aihw.gov.au/content/635126" TargetMode="External" Id="Rb54404035a44447b" /><Relationship Type="http://schemas.openxmlformats.org/officeDocument/2006/relationships/hyperlink" Target="https://meteor.aihw.gov.au/content/737914" TargetMode="External" Id="Rc77698d2e90f4025" /><Relationship Type="http://schemas.openxmlformats.org/officeDocument/2006/relationships/hyperlink" Target="https://meteor.aihw.gov.au/content/770355" TargetMode="External" Id="R1818ea027bc24926" /><Relationship Type="http://schemas.openxmlformats.org/officeDocument/2006/relationships/hyperlink" Target="https://meteor.aihw.gov.au/content/777814" TargetMode="External" Id="R360ed15d54264590" /><Relationship Type="http://schemas.openxmlformats.org/officeDocument/2006/relationships/hyperlink" Target="https://meteor.aihw.gov.au/content/737914" TargetMode="External" Id="R0fba84cb69ae4763" /><Relationship Type="http://schemas.openxmlformats.org/officeDocument/2006/relationships/hyperlink" Target="https://meteor.aihw.gov.au/content/770355" TargetMode="External" Id="R1eb8562d58844f3e" /><Relationship Type="http://schemas.openxmlformats.org/officeDocument/2006/relationships/hyperlink" Target="https://meteor.aihw.gov.au/content/303794" TargetMode="External" Id="R8984b045741b4cff" /><Relationship Type="http://schemas.openxmlformats.org/officeDocument/2006/relationships/hyperlink" Target="https://meteor.aihw.gov.au/content/737914" TargetMode="External" Id="Rdbd52100d930417e" /><Relationship Type="http://schemas.openxmlformats.org/officeDocument/2006/relationships/hyperlink" Target="https://meteor.aihw.gov.au/content/770355" TargetMode="External" Id="Rdba914594e454e8d" /><Relationship Type="http://schemas.openxmlformats.org/officeDocument/2006/relationships/hyperlink" Target="https://meteor.aihw.gov.au/content/635126" TargetMode="External" Id="R1fd94d54758b4a81" /><Relationship Type="http://schemas.openxmlformats.org/officeDocument/2006/relationships/hyperlink" Target="https://meteor.aihw.gov.au/content/737914" TargetMode="External" Id="R6db2864574fc4dd7" /><Relationship Type="http://schemas.openxmlformats.org/officeDocument/2006/relationships/hyperlink" Target="https://meteor.aihw.gov.au/content/770355" TargetMode="External" Id="Rc8d948b2bd4548c0" /><Relationship Type="http://schemas.openxmlformats.org/officeDocument/2006/relationships/hyperlink" Target="https://meteor.aihw.gov.au/content/410681" TargetMode="External" Id="R9b8dcd0659d54c11" /><Relationship Type="http://schemas.openxmlformats.org/officeDocument/2006/relationships/hyperlink" Target="https://meteor.aihw.gov.au/content/737914" TargetMode="External" Id="R62bbce6ee2774680" /><Relationship Type="http://schemas.openxmlformats.org/officeDocument/2006/relationships/hyperlink" Target="https://meteor.aihw.gov.au/content/754991" TargetMode="External" Id="Ra9e130701ae34b5d" /><Relationship Type="http://schemas.openxmlformats.org/officeDocument/2006/relationships/hyperlink" Target="https://kidney.org.au/uploads/resources/CKD-Management-in-Primary-Care_handbook_2020.1.pdf" TargetMode="External" Id="R8205f8bb3d444d42" /><Relationship Type="http://schemas.openxmlformats.org/officeDocument/2006/relationships/hyperlink" Target="https://meteor.aihw.gov.au/content/747490" TargetMode="External" Id="Re4c0e0705a6c4a54" /><Relationship Type="http://schemas.openxmlformats.org/officeDocument/2006/relationships/hyperlink" Target="https://meteor.aihw.gov.au/RegistrationAuthority/6" TargetMode="External" Id="R68d226c157974d7c" /><Relationship Type="http://schemas.openxmlformats.org/officeDocument/2006/relationships/hyperlink" Target="https://meteor.aihw.gov.au/content/779126" TargetMode="External" Id="R31c3a77c3e184f79" /><Relationship Type="http://schemas.openxmlformats.org/officeDocument/2006/relationships/hyperlink" Target="https://meteor.aihw.gov.au/RegistrationAuthority/6" TargetMode="External" Id="R647f2853e99e4061" /><Relationship Type="http://schemas.openxmlformats.org/officeDocument/2006/relationships/hyperlink" Target="https://meteor.aihw.gov.au/content/772338" TargetMode="External" Id="R710ca1a5b2864e62" /><Relationship Type="http://schemas.openxmlformats.org/officeDocument/2006/relationships/hyperlink" Target="https://meteor.aihw.gov.au/RegistrationAuthority/6" TargetMode="External" Id="R5796342013a84deb" /></Relationships>
</file>

<file path=word/_rels/header1.xml.rels>&#65279;<?xml version="1.0" encoding="utf-8"?><Relationships xmlns="http://schemas.openxmlformats.org/package/2006/relationships"><Relationship Type="http://schemas.openxmlformats.org/officeDocument/2006/relationships/image" Target="/media/image.png" Id="R5f02756b7b21451f" /></Relationships>
</file>