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1deca716184ba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(June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2ca2b839b4ae7">
              <w:r>
                <w:rPr>
                  <w:rStyle w:val="Hyperlink"/>
                  <w:color w:val="244061"/>
                </w:rPr>
                <w:t xml:space="preserve">AIHW Data Quality Statements</w:t>
              </w:r>
            </w:hyperlink>
            <w:r>
              <w:rPr>
                <w:rStyle w:val="row-content"/>
                <w:color w:val="244061"/>
              </w:rPr>
              <w:t xml:space="preserve">, Superseded 09/06/2023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June 2012, the National Key Performance Indicators (nKPIs) have been collected biannually from organisations funded by the Australian Government to provide health services to Aboriginal and Torres Strait Islander people (Indigenous Australians). The collection consists of a set of aggregate health-outcome and process-of-care measures across the domains of maternal and child health, preventative health and chronic disease management.</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Changes were made to the electronic data extraction method for most organisations in June 2017 that resulted in a break in series.</w:t>
            </w:r>
          </w:p>
          <w:p>
            <w:pPr>
              <w:pStyle w:val="ListParagraph"/>
              <w:numPr>
                <w:ilvl w:val="0"/>
                <w:numId w:val="2"/>
              </w:numPr>
            </w:pPr>
            <w:r>
              <w:rPr>
                <w:rStyle w:val="row-content-rich-text"/>
              </w:rPr>
              <w:t xml:space="preserve">Unlike in other periods, reporting for the June 2020, December 2020 and June 2021 periods was voluntary.</w:t>
            </w:r>
          </w:p>
          <w:p>
            <w:pPr>
              <w:pStyle w:val="ListParagraph"/>
              <w:numPr>
                <w:ilvl w:val="0"/>
                <w:numId w:val="2"/>
              </w:numPr>
            </w:pPr>
            <w:r>
              <w:rPr>
                <w:rStyle w:val="row-content-rich-text"/>
              </w:rPr>
              <w:t xml:space="preserve">Changes to some indicators were made in June 2018, December 2020, June 2021, December 2021 and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7481c29871cd41f9">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6fce80e3a3c94e90">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c0d29e6e61294cfc">
              <w:r>
                <w:rPr>
                  <w:rStyle w:val="Hyperlink"/>
                </w:rPr>
                <w:t xml:space="preserve">http://www.aihw.gov.au/about-us</w:t>
              </w:r>
            </w:hyperlink>
            <w:r>
              <w:rPr>
                <w:rStyle w:val="row-content-rich-text"/>
              </w:rPr>
              <w:t xml:space="preserve">, which includes details about the AIHW’s governance (</w:t>
            </w:r>
            <w:hyperlink w:history="true" r:id="R911f27e119924589">
              <w:r>
                <w:rPr>
                  <w:rStyle w:val="Hyperlink"/>
                </w:rPr>
                <w:t xml:space="preserve">http://www.aihw.gov.au/about-us/our-governance</w:t>
              </w:r>
            </w:hyperlink>
            <w:r>
              <w:rPr>
                <w:rStyle w:val="row-content-rich-text"/>
              </w:rPr>
              <w:t xml:space="preserve">) and our role and strategic goals (</w:t>
            </w:r>
            <w:hyperlink w:history="true" r:id="Rb4a8e93f386a42b7">
              <w:r>
                <w:rPr>
                  <w:rStyle w:val="Hyperlink"/>
                </w:rPr>
                <w:t xml:space="preserve">https://www.aihw.gov.au/about-us/what-we-do</w:t>
              </w:r>
            </w:hyperlink>
            <w:r>
              <w:rPr>
                <w:rStyle w:val="row-content-rich-text"/>
              </w:rPr>
              <w:t xml:space="preserve">).</w:t>
            </w:r>
          </w:p>
          <w:p>
            <w:pPr/>
            <w:r>
              <w:rPr>
                <w:rStyle w:val="row-content-rich-text"/>
              </w:rPr>
              <w:t xml:space="preserve">The nKPIs are submitted via the Department of Health and Aged Care’s Health Data Portal (HDP). Cleaned and finalised data from organisations are transferred from the HDP to a data storage facility, the Department of Health and Aged Care’s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each organisation twice a year, with census dates in June and December. The period of data covered varies by indicator. For the June 2022 period, the census date was 30 June 2022 and covered, depending on the indicator, either:</w:t>
            </w:r>
          </w:p>
          <w:p>
            <w:pPr>
              <w:pStyle w:val="ListParagraph"/>
              <w:numPr>
                <w:ilvl w:val="0"/>
                <w:numId w:val="3"/>
              </w:numPr>
            </w:pPr>
            <w:r>
              <w:rPr>
                <w:rStyle w:val="row-content-rich-text"/>
              </w:rPr>
              <w:t xml:space="preserve">6 months up to the census date, that is, from 1 January 2022 to 30 June 2022, or</w:t>
            </w:r>
          </w:p>
          <w:p>
            <w:pPr>
              <w:pStyle w:val="ListParagraph"/>
              <w:numPr>
                <w:ilvl w:val="0"/>
                <w:numId w:val="3"/>
              </w:numPr>
            </w:pPr>
            <w:r>
              <w:rPr>
                <w:rStyle w:val="row-content-rich-text"/>
              </w:rPr>
              <w:t xml:space="preserve">12 months up to the census date, that is, from 1 July 2021 to 30 June 2022, or</w:t>
            </w:r>
          </w:p>
          <w:p>
            <w:pPr>
              <w:pStyle w:val="ListParagraph"/>
              <w:numPr>
                <w:ilvl w:val="0"/>
                <w:numId w:val="3"/>
              </w:numPr>
            </w:pPr>
            <w:r>
              <w:rPr>
                <w:rStyle w:val="row-content-rich-text"/>
              </w:rPr>
              <w:t xml:space="preserve">24 months up to the census date, that is, from 1 July 2020 to 30 June 2022, or</w:t>
            </w:r>
          </w:p>
          <w:p>
            <w:pPr>
              <w:pStyle w:val="ListParagraph"/>
              <w:numPr>
                <w:ilvl w:val="0"/>
                <w:numId w:val="3"/>
              </w:numPr>
            </w:pPr>
            <w:r>
              <w:rPr>
                <w:rStyle w:val="row-content-rich-text"/>
              </w:rPr>
              <w:t xml:space="preserve">5 years up to the census date (for cervical screening only).</w:t>
            </w:r>
          </w:p>
          <w:p>
            <w:pPr>
              <w:spacing w:after="160"/>
            </w:pPr>
            <w:r>
              <w:rPr>
                <w:rStyle w:val="row-content-rich-text"/>
              </w:rPr>
              <w:t xml:space="preserve">The national reporting dataset cannot be compiled until the Department of Health and Aged Care closes off data submission and submitted data are cleaned and finalised. Up to that date, the AIHW works with organisations to resolve errors or, if unresolved data quality issues remained, to flag the data for exclusion from the national reporting dataset. For the June 2022 collection, data submission started 1 July and data were finalised 1 November 2022.</w:t>
            </w:r>
          </w:p>
          <w:p>
            <w:pPr>
              <w:spacing w:after="160"/>
            </w:pPr>
            <w:r>
              <w:rPr>
                <w:rStyle w:val="row-content-rich-text"/>
              </w:rPr>
              <w:t xml:space="preserve">Data from the national reporting dataset were released to submitting organisations (via organisation specific reports generated by the Department of Health and Aged Care) 14 November 2022.</w:t>
            </w:r>
          </w:p>
          <w:p>
            <w:pPr/>
            <w:r>
              <w:rPr>
                <w:rStyle w:val="row-content-rich-text"/>
              </w:rPr>
              <w:t xml:space="preserve">Data from the national reporting dataset were released via the AIHW website 17 January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June 2022 are published in </w:t>
            </w:r>
            <w:hyperlink w:history="true" r:id="R5b6c6696b3bb4730">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hyperlink w:history="true" r:id="Rad79f33a2b4548c1">
              <w:r>
                <w:rPr>
                  <w:rStyle w:val="Hyperlink"/>
                </w:rPr>
                <w:t xml:space="preserve">dataquality@aihw.gov.au</w:t>
              </w:r>
            </w:hyperlink>
            <w:r>
              <w:rPr>
                <w:rStyle w:val="row-content-rich-text"/>
              </w:rPr>
              <w:t xml:space="preserve"> or via the </w:t>
            </w:r>
            <w:hyperlink w:history="true" r:id="R298aad27961d4883">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nKPI collection is available in the METEOR </w:t>
            </w:r>
            <w:hyperlink w:history="true" r:id="R3282a8958d474baf">
              <w:r>
                <w:rPr>
                  <w:rStyle w:val="Hyperlink"/>
                </w:rPr>
                <w:t xml:space="preserve">indicator set</w:t>
              </w:r>
            </w:hyperlink>
            <w:r>
              <w:rPr>
                <w:rStyle w:val="row-content-rich-text"/>
              </w:rPr>
              <w:t xml:space="preserve"> and </w:t>
            </w:r>
            <w:hyperlink w:history="true" r:id="R277a1bad189d4e34">
              <w:r>
                <w:rPr>
                  <w:rStyle w:val="Hyperlink"/>
                </w:rPr>
                <w:t xml:space="preserve">NBEDS</w:t>
              </w:r>
            </w:hyperlink>
            <w:r>
              <w:rPr>
                <w:rStyle w:val="row-content-rich-text"/>
              </w:rPr>
              <w:t xml:space="preserve"> for the collection.</w:t>
            </w:r>
          </w:p>
          <w:p>
            <w:pPr/>
            <w:r>
              <w:rPr>
                <w:rStyle w:val="row-content-rich-text"/>
              </w:rPr>
              <w:t xml:space="preserve">Information is also available via the </w:t>
            </w:r>
            <w:hyperlink w:history="true" r:id="R4ed38f9af6084917">
              <w:r>
                <w:rPr>
                  <w:rStyle w:val="Hyperlink"/>
                </w:rPr>
                <w:t xml:space="preserve">Technical appendix</w:t>
              </w:r>
            </w:hyperlink>
            <w:r>
              <w:rPr>
                <w:rStyle w:val="row-content-rich-text"/>
              </w:rPr>
              <w:t xml:space="preserve"> and </w:t>
            </w:r>
            <w:hyperlink w:history="true" r:id="Rd831cc1b66154f59">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nKPI collection is organisations receiving funding under the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only required to report on a subset of indicators, and this varies over time. The June 2022 collection included 21 MCH organisations. Overall, these organisations provided valid data for PI01, PI02, PI03 (child and adult), PI11 and PI13, although not all organisations provided valid data for each indicator. Seventeen MCH organisations reported against child and maternal health indicators only.</w:t>
            </w:r>
          </w:p>
          <w:p>
            <w:pPr>
              <w:spacing w:after="160"/>
            </w:pPr>
            <w:r>
              <w:rPr>
                <w:rStyle w:val="row-content-rich-text"/>
              </w:rPr>
              <w:t xml:space="preserve">For almost all indicators, data relate to Indigenous regular clients of that organisation. A regular client is defined as someone who has visited a particular organisation 3 or more times in the last 2 years. The exceptions are the 2 indicators relating to birthweight of Indigenous babies (PI01 and PI02) which relate to all Indigenous babies with a record at the organisation who attended the organisation more than once (as many babies will not have visited a health service organisation 3 times in the last 2 years).</w:t>
            </w:r>
          </w:p>
          <w:p>
            <w:pPr>
              <w:spacing w:after="160"/>
            </w:pPr>
            <w:r>
              <w:rPr>
                <w:rStyle w:val="row-content-rich-text"/>
              </w:rPr>
              <w:t xml:space="preserve">The census date for the June 2022 collection is 30 June 2022 and data cover various periods from 6 months to 5 years prior to the census date, depending on the indicator (see also Timeliness).</w:t>
            </w:r>
          </w:p>
          <w:p>
            <w:pPr/>
            <w:r>
              <w:rPr>
                <w:rStyle w:val="row-content-rich-text"/>
              </w:rPr>
              <w:t xml:space="preserve">Data are available at the national, state/territory and remoteness area levels. Geographic information is recorded based on the physical address of the main site of the organisation. This is used for analysis at jurisdictional and remoteness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Reporting for the June 2022 collection was mandatory and all 230 organisations that were in-scope to report submitted data.</w:t>
            </w:r>
          </w:p>
          <w:p>
            <w:pPr>
              <w:spacing w:after="160"/>
            </w:pPr>
            <w:r>
              <w:rPr>
                <w:rStyle w:val="row-content-rich-text"/>
              </w:rPr>
              <w:t xml:space="preserve">The main clinical information systems (CIS) are able to generate nKPI data within their clinical system and transmit it directly to the HDP. Organisations using other CIS manually enter data into a web-based form in the HDP.</w:t>
            </w:r>
          </w:p>
          <w:p>
            <w:pPr>
              <w:spacing w:after="160"/>
            </w:pPr>
            <w:r>
              <w:rPr>
                <w:rStyle w:val="row-content-rich-text"/>
              </w:rPr>
              <w:t xml:space="preserve">The HDP applies a series of validation rules to the data to identify any data quality issues and organisations can correct these issues before submitting their data. In addition, the AIHW checks the quality of the data supplied by each organisation. Where the AIHW identifies possible errors or inconsistencies, organisations are provided with a description of the issue and invited to resubmit data. Data may be resubmitted until the collection period is closed off by the Department of Health and Aged Care. For the June 2022 collection, the AIHW returned data to 84 of the 230 organisations who reported that period. Where unresolved data quality issues are identified, the AIHW excludes these data from the national reporting dataset. For the June 2022 collection, 8 (3.5%) of the organisations had unresolved internal validation issues at the close of the reporting cycle.</w:t>
            </w:r>
          </w:p>
          <w:p>
            <w:pPr>
              <w:spacing w:after="160"/>
            </w:pPr>
            <w:r>
              <w:rPr>
                <w:rStyle w:val="row-content-rich-text"/>
              </w:rPr>
              <w:t xml:space="preserve">Data are not provided by organisations that do not provide the service for which the indicator collects information. Other major reasons for data not being provided or organisations having data quality problems include:</w:t>
            </w:r>
          </w:p>
          <w:p>
            <w:pPr>
              <w:pStyle w:val="ListParagraph"/>
              <w:numPr>
                <w:ilvl w:val="0"/>
                <w:numId w:val="4"/>
              </w:numPr>
            </w:pPr>
            <w:r>
              <w:rPr>
                <w:rStyle w:val="row-content-rich-text"/>
              </w:rPr>
              <w:t xml:space="preserve">lack of complete records of data held by the organisation</w:t>
            </w:r>
          </w:p>
          <w:p>
            <w:pPr>
              <w:pStyle w:val="ListParagraph"/>
              <w:numPr>
                <w:ilvl w:val="0"/>
                <w:numId w:val="4"/>
              </w:numPr>
            </w:pPr>
            <w:r>
              <w:rPr>
                <w:rStyle w:val="row-content-rich-text"/>
              </w:rPr>
              <w:t xml:space="preserve">insufficient data management resources at organisations to support the data collection</w:t>
            </w:r>
          </w:p>
          <w:p>
            <w:pPr>
              <w:pStyle w:val="ListParagraph"/>
              <w:numPr>
                <w:ilvl w:val="0"/>
                <w:numId w:val="4"/>
              </w:numPr>
            </w:pPr>
            <w:r>
              <w:rPr>
                <w:rStyle w:val="row-content-rich-text"/>
              </w:rPr>
              <w:t xml:space="preserve">problems with the electronic transfer of data from organisations’ CIS to the AIHW.</w:t>
            </w:r>
          </w:p>
          <w:p>
            <w:pPr>
              <w:spacing w:after="160"/>
            </w:pPr>
            <w:r>
              <w:rPr>
                <w:rStyle w:val="row-content-rich-text"/>
              </w:rPr>
              <w:t xml:space="preserve">In addition to unresolved internal validation issues, some indicators are excluded from analysis because the organisation’s data do not meet the regular client definition (for example, because they were a new organisation or they had changed to a new CIS) or issues were identified with particular CIS.</w:t>
            </w:r>
          </w:p>
          <w:p>
            <w:pPr>
              <w:spacing w:after="160"/>
            </w:pPr>
            <w:r>
              <w:rPr>
                <w:rStyle w:val="row-content-rich-text"/>
              </w:rPr>
              <w:t xml:space="preserve">It is difficult to develop a definition of a regular client that is appropriate for all organisations because organisations vary in their location, proximity to other service providers and the context in which they operate. Issues that have been identified with the regular client definition include:</w:t>
            </w:r>
          </w:p>
          <w:p>
            <w:pPr>
              <w:pStyle w:val="ListParagraph"/>
              <w:numPr>
                <w:ilvl w:val="0"/>
                <w:numId w:val="5"/>
              </w:numPr>
            </w:pPr>
            <w:r>
              <w:rPr>
                <w:rStyle w:val="row-content-rich-text"/>
              </w:rPr>
              <w:t xml:space="preserve">the concept of a visit varies within CIS</w:t>
            </w:r>
          </w:p>
          <w:p>
            <w:pPr>
              <w:pStyle w:val="ListParagraph"/>
              <w:numPr>
                <w:ilvl w:val="0"/>
                <w:numId w:val="5"/>
              </w:numPr>
            </w:pPr>
            <w:r>
              <w:rPr>
                <w:rStyle w:val="row-content-rich-text"/>
              </w:rPr>
              <w:t xml:space="preserve">there are various scenarios where a client would or would not be considered a regular client, for example:</w:t>
            </w:r>
            <w:r>
              <w:br/>
            </w:r>
            <w:r>
              <w:rPr>
                <w:rStyle w:val="row-content-rich-text"/>
              </w:rPr>
              <w:t xml:space="preserve">        • some clients might have another primary health care organisation as their primary place of care</w:t>
            </w:r>
            <w:r>
              <w:br/>
            </w:r>
            <w:r>
              <w:rPr>
                <w:rStyle w:val="row-content-rich-text"/>
              </w:rPr>
              <w:t xml:space="preserve">        • some clients might be transient and stay in a community only temporarily</w:t>
            </w:r>
            <w:r>
              <w:br/>
            </w:r>
            <w:r>
              <w:rPr>
                <w:rStyle w:val="row-content-rich-text"/>
              </w:rPr>
              <w:t xml:space="preserve">        • clients might access different health care organisations in the same general location and might not use the same organisation consistently.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June 2022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Indicators collected</w:t>
            </w:r>
            <w:r>
              <w:rPr>
                <w:rStyle w:val="row-content-rich-text"/>
              </w:rPr>
              <w:t xml:space="preserve"> – for the June 2022 collection, data for 22 indicators were collected. The number of indicators included in the collection has changed over time. In June 2012, the collection began with 11 indicators; in June 2013, an additional 8 were added; in December 2014, 2 indicators were added; in December 2015, one indicator was added; in June 2017, 2 indicators were added; in December 2020, one indicator was retired; in June 2021, one indicator was retired; in December 2021, one indicator was retired, one indicator was not collected while modifications were made and one indicator was collected but excluded from reporting while further modifications were made; and in June 2022 modified versions of the 2 indicators that were not collected and not reported in December 2021 were re-introduced and one indicator was added as a pilot but not reported.</w:t>
            </w:r>
          </w:p>
          <w:p>
            <w:pPr>
              <w:spacing w:after="160"/>
            </w:pPr>
            <w:r>
              <w:rPr>
                <w:rStyle w:val="row-content-rich-text"/>
              </w:rPr>
              <w:t xml:space="preserve">PI22 (cervical screening) was modified in June 2018 to align with the revised guidelines under the National Cervical Screening Program. The indicator was revised to include clients who had either a Pap test conducted prior to 1 December 2017 or an HPV test conducted from 1 December 2019. The age range was also revised.</w:t>
            </w:r>
          </w:p>
          <w:p>
            <w:pPr>
              <w:spacing w:after="160"/>
            </w:pPr>
            <w:r>
              <w:rPr>
                <w:rStyle w:val="row-content-rich-text"/>
              </w:rPr>
              <w:t xml:space="preserve">From December 2020, changes were made to 4 indicators (PI03, PI07, PI14 and PI22) and one was retired (PI08). For more details see the </w:t>
            </w:r>
            <w:hyperlink w:history="true" r:id="R5c220ba984444a65">
              <w:r>
                <w:rPr>
                  <w:rStyle w:val="Hyperlink"/>
                </w:rPr>
                <w:t xml:space="preserve">Indigenous primary health care key performance indicators (December 2020)</w:t>
              </w:r>
            </w:hyperlink>
            <w:r>
              <w:rPr>
                <w:rStyle w:val="row-content-rich-text"/>
              </w:rPr>
              <w:t xml:space="preserve">.</w:t>
            </w:r>
          </w:p>
          <w:p>
            <w:pPr>
              <w:spacing w:after="160"/>
            </w:pPr>
            <w:r>
              <w:rPr>
                <w:rStyle w:val="row-content-rich-text"/>
              </w:rPr>
              <w:t xml:space="preserve">From June 2021, changes were made to 7 indicators (PI01, PI02, PI09, PI10, PI11, PI13 and PI24) and one was retired (PI04). For more details see the </w:t>
            </w:r>
            <w:hyperlink w:history="true" r:id="R2471a91e6cd544af">
              <w:r>
                <w:rPr>
                  <w:rStyle w:val="Hyperlink"/>
                </w:rPr>
                <w:t xml:space="preserve">Indigenous primary health care key performance indicators (June 2021)</w:t>
              </w:r>
            </w:hyperlink>
            <w:r>
              <w:rPr>
                <w:rStyle w:val="row-content-rich-text"/>
              </w:rPr>
              <w:t xml:space="preserve">.</w:t>
            </w:r>
          </w:p>
          <w:p>
            <w:pPr>
              <w:spacing w:after="160"/>
            </w:pPr>
            <w:r>
              <w:rPr>
                <w:rStyle w:val="row-content-rich-text"/>
              </w:rPr>
              <w:t xml:space="preserve">From December 2021, changes were made to one indicator (PI12), one was retired (PI15), one indicator was not collected while modifications were made (PI19) and one indicator was modified but not reported while further modifications were made (PI18). These changes are:</w:t>
            </w:r>
          </w:p>
          <w:p>
            <w:pPr>
              <w:pStyle w:val="ListParagraph"/>
              <w:numPr>
                <w:ilvl w:val="0"/>
                <w:numId w:val="6"/>
              </w:numPr>
            </w:pPr>
            <w:r>
              <w:rPr>
                <w:rStyle w:val="row-content-rich-text"/>
              </w:rPr>
              <w:t xml:space="preserve">PI12 Body Mass Index: from December 2021, the age range captured by this indicator was expanded to include ages 18–24; the BMI categories changed to ‘underweight (&lt;18.50)’, ‘normal weight (18.50–24.99)’, ‘overweight (25.00–29.99)’, ‘obese (≥30)’ and ‘not calculated’ (previously ‘overweight (25.00–29.99)’ and ‘obese (≥30)’); and the denominator changed to Indigenous regular clients (previously Indigenous regular clients with BMI recorded).</w:t>
            </w:r>
          </w:p>
          <w:p>
            <w:pPr>
              <w:pStyle w:val="ListParagraph"/>
              <w:numPr>
                <w:ilvl w:val="0"/>
                <w:numId w:val="6"/>
              </w:numPr>
            </w:pPr>
            <w:r>
              <w:rPr>
                <w:rStyle w:val="row-content-rich-text"/>
              </w:rPr>
              <w:t xml:space="preserve">PI18 Kidney function test recorded: from December 2021, the age range captured by this indicator was expanded to all ages; the kidney function test type categories were changed to ‘eGFR only’, ‘ACR only’, ‘both eGFR and ACR’ and  ‘neither eGFR nor ACR’ (previously ‘eGFR only’, ‘ACR only’ and ‘both eGFR and ACR’); and the indicator was collected for the client groups ‘type 2 diabetes’, ‘CVD’ and 'type 2 diabetes and/or CVD' (previously ‘type 2 diabetes’ and ‘CVD’).</w:t>
            </w:r>
          </w:p>
          <w:p>
            <w:pPr>
              <w:spacing w:after="160"/>
            </w:pPr>
            <w:r>
              <w:rPr>
                <w:rStyle w:val="row-content-rich-text"/>
              </w:rPr>
              <w:t xml:space="preserve">From June 2022, changes were made to 2 indicators (PI18 and PI19) and one indicator was added as a pilot (PI25). These changes are:</w:t>
            </w:r>
          </w:p>
          <w:p>
            <w:pPr>
              <w:pStyle w:val="ListParagraph"/>
              <w:numPr>
                <w:ilvl w:val="0"/>
                <w:numId w:val="7"/>
              </w:numPr>
            </w:pPr>
            <w:r>
              <w:rPr>
                <w:rStyle w:val="row-content-rich-text"/>
              </w:rPr>
              <w:t xml:space="preserve">PI18 Kidney function test recorded: from June 2022, the age range captured by this indicator was reduced so the lowest age group was 18–24 (previously 0–14).</w:t>
            </w:r>
          </w:p>
          <w:p>
            <w:pPr>
              <w:pStyle w:val="ListParagraph"/>
              <w:numPr>
                <w:ilvl w:val="0"/>
                <w:numId w:val="7"/>
              </w:numPr>
            </w:pPr>
            <w:r>
              <w:rPr>
                <w:rStyle w:val="row-content-rich-text"/>
              </w:rPr>
              <w:t xml:space="preserve">PI19 Kidney function test result: from June 2022 the age range captured by this indicator was reduced so the lowest age group was 18–24 (previously 15–24); the result categories collected were changed to 'normal', 'low', 'moderate' and 'high' risk (previously collected eGFR result levels and ACR result levels); and the indicator was collected for the client groups ‘type 2 diabetes’, ‘CVD’ and 'type 2 diabetes and/or CVD' (previously ‘type 2 diabetes’ and ‘CVD’).</w:t>
            </w:r>
          </w:p>
          <w:p>
            <w:pPr>
              <w:pStyle w:val="ListParagraph"/>
              <w:numPr>
                <w:ilvl w:val="0"/>
                <w:numId w:val="7"/>
              </w:numPr>
            </w:pPr>
            <w:r>
              <w:rPr>
                <w:rStyle w:val="row-content-rich-text"/>
              </w:rPr>
              <w:t xml:space="preserve">PI25 STI test recorded: a pilot collection of the new indicator for the purpose of assessing indicator data quality and performance only.  Data were not included in public reporting.</w:t>
            </w:r>
          </w:p>
          <w:p>
            <w:pPr>
              <w:spacing w:after="160"/>
            </w:pPr>
            <w:r>
              <w:rPr>
                <w:rStyle w:val="row-content-rich-text"/>
                <w:b/>
              </w:rPr>
              <w:t xml:space="preserve">Organisations reporting to the collection</w:t>
            </w:r>
            <w:r>
              <w:rPr>
                <w:rStyle w:val="row-content-rich-text"/>
              </w:rPr>
              <w:t xml:space="preserve"> – while for the most part it is the same organisations reporting to the collection each period, as a result of changes in funding, auspicing or reporting arrangements at the local level:</w:t>
            </w:r>
          </w:p>
          <w:p>
            <w:pPr>
              <w:pStyle w:val="ListParagraph"/>
              <w:numPr>
                <w:ilvl w:val="0"/>
                <w:numId w:val="8"/>
              </w:numPr>
            </w:pPr>
            <w:r>
              <w:rPr>
                <w:rStyle w:val="row-content-rich-text"/>
              </w:rPr>
              <w:t xml:space="preserve">the organisations that are funded to provide services vary between periods</w:t>
            </w:r>
          </w:p>
          <w:p>
            <w:pPr>
              <w:pStyle w:val="ListParagraph"/>
              <w:numPr>
                <w:ilvl w:val="0"/>
                <w:numId w:val="8"/>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rPr>
              <w:t xml:space="preserve">Unlike in other periods, reporting for the June 2020–June 2021 periods was voluntary.</w:t>
            </w:r>
          </w:p>
          <w:p>
            <w:pPr>
              <w:spacing w:after="160"/>
            </w:pPr>
            <w:r>
              <w:rPr>
                <w:rStyle w:val="row-content-rich-text"/>
                <w:b/>
              </w:rPr>
              <w:t xml:space="preserve">Data quality and exclusions</w:t>
            </w:r>
            <w:r>
              <w:rPr>
                <w:rStyle w:val="row-content-rich-text"/>
              </w:rPr>
              <w:t xml:space="preserve"> – 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b/>
              </w:rPr>
              <w:t xml:space="preserve">Other issues:</w:t>
            </w:r>
          </w:p>
          <w:p>
            <w:pPr>
              <w:pStyle w:val="ListParagraph"/>
              <w:numPr>
                <w:ilvl w:val="0"/>
                <w:numId w:val="9"/>
              </w:numPr>
            </w:pPr>
            <w:r>
              <w:rPr>
                <w:rStyle w:val="row-content-rich-text"/>
              </w:rPr>
              <w:t xml:space="preserve">For the June 2017 nKPI data collection, changes were made to the data extraction process leading to a break in series at the national level. As such, data from June 2017 onwards are not strictly comparable with previous periods. For more detail see the </w:t>
            </w:r>
            <w:hyperlink w:history="true" r:id="R6712c92f2f1e404c">
              <w:r>
                <w:rPr>
                  <w:rStyle w:val="Hyperlink"/>
                </w:rPr>
                <w:t xml:space="preserve">Indigenous primary health care key performance indicators (December 2017) DQS</w:t>
              </w:r>
            </w:hyperlink>
            <w:r>
              <w:rPr>
                <w:rStyle w:val="row-content-rich-text"/>
              </w:rPr>
              <w:t xml:space="preserve">.</w:t>
            </w:r>
          </w:p>
          <w:p>
            <w:pPr>
              <w:pStyle w:val="ListParagraph"/>
              <w:numPr>
                <w:ilvl w:val="0"/>
                <w:numId w:val="9"/>
              </w:numPr>
            </w:pPr>
            <w:r>
              <w:rPr>
                <w:rStyle w:val="row-content-rich-text"/>
              </w:rPr>
              <w:t xml:space="preserve">From June 2018, the definition of a regular client excludes deceased patients.</w:t>
            </w:r>
          </w:p>
          <w:p>
            <w:pPr>
              <w:pStyle w:val="ListParagraph"/>
              <w:numPr>
                <w:ilvl w:val="0"/>
                <w:numId w:val="9"/>
              </w:numPr>
            </w:pPr>
            <w:r>
              <w:rPr>
                <w:rStyle w:val="row-content-rich-text"/>
              </w:rPr>
              <w:t xml:space="preserve">From the June 2019 collection, organisations were not required to provide data for indicators relating to a service they were not funded to provide or if they did not have data. For more information see the </w:t>
            </w:r>
            <w:hyperlink w:history="true" r:id="R6cd3fe0cb9b74898">
              <w:r>
                <w:rPr>
                  <w:rStyle w:val="Hyperlink"/>
                </w:rPr>
                <w:t xml:space="preserve">Indigenous primary health care key performance indicators (June 2019) DQS</w:t>
              </w:r>
            </w:hyperlink>
            <w:r>
              <w:rPr>
                <w:rStyle w:val="row-content-rich-text"/>
              </w:rPr>
              <w:t xml:space="preserve">.</w:t>
            </w:r>
          </w:p>
          <w:p>
            <w:pPr>
              <w:pStyle w:val="ListParagraph"/>
              <w:numPr>
                <w:ilvl w:val="0"/>
                <w:numId w:val="9"/>
              </w:numPr>
            </w:pPr>
            <w:r>
              <w:rPr>
                <w:rStyle w:val="row-content-rich-text"/>
              </w:rPr>
              <w:t xml:space="preserve">CVD risk calculators embedded in some CIS do not capture all the data needed to apply the full NVDPA risk assessment algorithm. Data from organisations using CIS that do not capture all the necessary data may underestimate the number of clients at high CVD risk. Therefore, data for PI21 for all affected organisations are excluded from AIHW national reporting in all periods.</w:t>
            </w:r>
          </w:p>
          <w:p>
            <w:pPr>
              <w:pStyle w:val="ListParagraph"/>
              <w:numPr>
                <w:ilvl w:val="0"/>
                <w:numId w:val="9"/>
              </w:numPr>
            </w:pPr>
            <w:r>
              <w:rPr>
                <w:rStyle w:val="row-content-rich-text"/>
              </w:rPr>
              <w:t xml:space="preserve">AIHW were advised that data from one CIS had issues for PI09, PI10, PI11, PI16 and PI17 prior to December 2019. For more information see the </w:t>
            </w:r>
            <w:hyperlink w:history="true" r:id="R87988dad855344d3">
              <w:r>
                <w:rPr>
                  <w:rStyle w:val="Hyperlink"/>
                </w:rPr>
                <w:t xml:space="preserve">Indigenous primary health care key performance indicators (December 2019) DQS</w:t>
              </w:r>
            </w:hyperlink>
            <w:r>
              <w:rPr>
                <w:rStyle w:val="row-content-rich-text"/>
              </w:rPr>
              <w:t xml:space="preserve">.</w:t>
            </w:r>
          </w:p>
          <w:p>
            <w:pPr>
              <w:pStyle w:val="ListParagraph"/>
              <w:numPr>
                <w:ilvl w:val="0"/>
                <w:numId w:val="9"/>
              </w:numPr>
            </w:pPr>
            <w:r>
              <w:rPr>
                <w:rStyle w:val="row-content-rich-text"/>
              </w:rPr>
              <w:t xml:space="preserve">There were variations in the data as a result of the COVID-19 pandemic. In particular, there was a temporary change from mandatory to voluntary reporting for June 2020, December 2020 and June 2021 and an associated decrease in the number of reporting organisations. For more information on the impact of COVID-19 on the data, see </w:t>
            </w:r>
            <w:hyperlink w:history="true" r:id="R253e7c57c5034df0">
              <w:r>
                <w:rPr>
                  <w:rStyle w:val="Hyperlink"/>
                </w:rPr>
                <w:t xml:space="preserve">Aboriginal and Torres Strait Islander specific primary health care: results from the nKPI and OSR collections</w:t>
              </w:r>
            </w:hyperlink>
            <w:r>
              <w:rPr>
                <w:rStyle w:val="row-content-rich-text"/>
              </w:rPr>
              <w:t xml:space="preserve">.</w:t>
            </w:r>
          </w:p>
          <w:p>
            <w:pPr>
              <w:pStyle w:val="ListParagraph"/>
              <w:numPr>
                <w:ilvl w:val="0"/>
                <w:numId w:val="9"/>
              </w:numPr>
            </w:pPr>
            <w:r>
              <w:rPr>
                <w:rStyle w:val="row-content-rich-text"/>
              </w:rPr>
              <w:t xml:space="preserve">In December 2020, for some CIS there may be double-counting of ‘In-person’ and ‘Telehealth’ attendance for PI03 and PI07 for organisations that submitted before these issues were resolved. The impact of this on the data is unknown.</w:t>
            </w:r>
          </w:p>
          <w:p>
            <w:pPr>
              <w:pStyle w:val="ListParagraph"/>
              <w:numPr>
                <w:ilvl w:val="0"/>
                <w:numId w:val="9"/>
              </w:numPr>
            </w:pPr>
            <w:r>
              <w:rPr>
                <w:rStyle w:val="row-content-rich-text"/>
              </w:rPr>
              <w:t xml:space="preserve">The PI09 smoking status recorded and PI10 smoking status result indicators specify that if a record does not have an assessment date assigned within the CIS, the record should be treated as current (that is, as having been updated within the previous 24 months). There are variations between CIS and whether they capture all results or only those results updated within the previous 24 months. In particular, in June 2021, some CIS modified the inclusions for these indicators. The impact of this has not been quantified.</w:t>
            </w:r>
          </w:p>
          <w:p>
            <w:pPr/>
            <w:r>
              <w:rPr>
                <w:rStyle w:val="row-content-rich-text"/>
                <w:b/>
              </w:rPr>
              <w:t xml:space="preserve">Effect of COVID-19</w:t>
            </w:r>
            <w:r>
              <w:rPr>
                <w:rStyle w:val="row-content-rich-text"/>
              </w:rPr>
              <w:t xml:space="preserve"> – Some impact from the coronavirus disease 2019 (COVID-19) pandemic (the pandemic) can be seen in the results from some nKPI measures. However, variation between periods cannot be tied completely to the effects of the pandemic, and a combination of other factors as listed previously in this section also affects results over time. See </w:t>
            </w:r>
            <w:hyperlink w:history="true" r:id="Rf9710b4cd2144976">
              <w:r>
                <w:rPr>
                  <w:rStyle w:val="Hyperlink"/>
                </w:rPr>
                <w:t xml:space="preserve">Aboriginal and Torres Strait Islander specific primary health care: results from the nKPI and OSR collections</w:t>
              </w:r>
            </w:hyperlink>
            <w:r>
              <w:rPr>
                <w:rStyle w:val="row-content-rich-text"/>
              </w:rPr>
              <w:t xml:space="preserve">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01/01/2022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903997f3324e7b">
              <w:r>
                <w:rPr>
                  <w:rStyle w:val="Hyperlink"/>
                </w:rPr>
                <w:t xml:space="preserve">Indigenous primary health care key performance indicators (December 2021)</w:t>
              </w:r>
            </w:hyperlink>
          </w:p>
          <w:p>
            <w:pPr>
              <w:spacing w:before="0" w:after="0"/>
            </w:pPr>
            <w:r>
              <w:rPr>
                <w:rStyle w:val="row-content"/>
                <w:color w:val="244061"/>
              </w:rPr>
              <w:t xml:space="preserve">       </w:t>
            </w:r>
            <w:hyperlink w:history="true" r:id="R2c6cfe76d67e4b08">
              <w:r>
                <w:rPr>
                  <w:rStyle w:val="Hyperlink"/>
                  <w:color w:val="244061"/>
                </w:rPr>
                <w:t xml:space="preserve">AIHW Data Quality Statements</w:t>
              </w:r>
            </w:hyperlink>
            <w:r>
              <w:rPr>
                <w:rStyle w:val="row-content"/>
                <w:color w:val="244061"/>
              </w:rPr>
              <w:t xml:space="preserve">, Superseded 17/01/2023</w:t>
            </w:r>
          </w:p>
          <w:p>
            <w:r>
              <w:br/>
            </w:r>
            <w:r>
              <w:rPr>
                <w:rStyle w:val="row-content"/>
              </w:rPr>
              <w:t xml:space="preserve">Has been superseded by </w:t>
            </w:r>
            <w:hyperlink w:history="true" r:id="R4c7d8d806bb14c7d">
              <w:r>
                <w:rPr>
                  <w:rStyle w:val="Hyperlink"/>
                </w:rPr>
                <w:t xml:space="preserve">Indigenous primary health care key performance indicators (December 2022)</w:t>
              </w:r>
            </w:hyperlink>
          </w:p>
          <w:p>
            <w:pPr>
              <w:spacing w:before="0" w:after="0"/>
            </w:pPr>
            <w:r>
              <w:rPr>
                <w:rStyle w:val="row-content"/>
                <w:color w:val="244061"/>
              </w:rPr>
              <w:t xml:space="preserve">       </w:t>
            </w:r>
            <w:hyperlink w:history="true" r:id="Rf475d7f41a8e495a">
              <w:r>
                <w:rPr>
                  <w:rStyle w:val="Hyperlink"/>
                  <w:color w:val="244061"/>
                </w:rPr>
                <w:t xml:space="preserve">AIHW Data Quality Statements</w:t>
              </w:r>
            </w:hyperlink>
            <w:r>
              <w:rPr>
                <w:rStyle w:val="row-content"/>
                <w:color w:val="244061"/>
              </w:rPr>
              <w:t xml:space="preserve">, Superseded 30/01/2024</w:t>
            </w:r>
          </w:p>
          <w:p>
            <w:r>
              <w:br/>
            </w:r>
          </w:p>
        </w:tc>
      </w:tr>
    </w:tbl>
    <w:p>
      <w:r>
        <w:br/>
      </w:r>
    </w:p>
    <w:sectPr>
      <w:footerReference xmlns:r="http://schemas.openxmlformats.org/officeDocument/2006/relationships" w:type="default" r:id="R88ce4f117f1b4c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769831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5959e07d9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ce4f117f1b4c6a" /><Relationship Type="http://schemas.openxmlformats.org/officeDocument/2006/relationships/header" Target="/word/header1.xml" Id="R87a98594c4604bc6" /><Relationship Type="http://schemas.openxmlformats.org/officeDocument/2006/relationships/settings" Target="/word/settings.xml" Id="Rd2d9c287ef004952" /><Relationship Type="http://schemas.openxmlformats.org/officeDocument/2006/relationships/styles" Target="/word/styles.xml" Id="R095bf90ba9574494" /><Relationship Type="http://schemas.openxmlformats.org/officeDocument/2006/relationships/hyperlink" Target="https://meteor.aihw.gov.au/RegistrationAuthority/5" TargetMode="External" Id="Rab82ca2b839b4ae7" /><Relationship Type="http://schemas.openxmlformats.org/officeDocument/2006/relationships/numbering" Target="/word/numbering.xml" Id="R0b392cecc9a24902" /><Relationship Type="http://schemas.openxmlformats.org/officeDocument/2006/relationships/hyperlink" Target="http://www.comlaw.gov.au/Series/C2004A03450" TargetMode="External" Id="R7481c29871cd41f9" /><Relationship Type="http://schemas.openxmlformats.org/officeDocument/2006/relationships/hyperlink" Target="https://www.legislation.gov.au/Series/C2004A03712" TargetMode="External" Id="R6fce80e3a3c94e90" /><Relationship Type="http://schemas.openxmlformats.org/officeDocument/2006/relationships/hyperlink" Target="http://www.aihw.gov.au/about-us" TargetMode="External" Id="Rc0d29e6e61294cfc" /><Relationship Type="http://schemas.openxmlformats.org/officeDocument/2006/relationships/hyperlink" Target="http://www.aihw.gov.au/about-us/our-governance" TargetMode="External" Id="R911f27e119924589" /><Relationship Type="http://schemas.openxmlformats.org/officeDocument/2006/relationships/hyperlink" Target="https://www.aihw.gov.au/about-us/what-we-do" TargetMode="External" Id="Rb4a8e93f386a42b7" /><Relationship Type="http://schemas.openxmlformats.org/officeDocument/2006/relationships/hyperlink" Target="https://www.aihw.gov.au/reports/indigenous-australians/indigenous-primary-health-care-results-osr-nkpi/overview/summary" TargetMode="External" Id="R5b6c6696b3bb4730" /><Relationship Type="http://schemas.openxmlformats.org/officeDocument/2006/relationships/hyperlink" Target="mailto:dataquality@aihw.gov.au" TargetMode="External" Id="Rad79f33a2b4548c1" /><Relationship Type="http://schemas.openxmlformats.org/officeDocument/2006/relationships/hyperlink" Target="https://www.aihw.gov.au/our-services/data-on-request" TargetMode="External" Id="R298aad27961d4883" /><Relationship Type="http://schemas.openxmlformats.org/officeDocument/2006/relationships/hyperlink" Target="https://meteor.aihw.gov.au/content/762316" TargetMode="External" Id="R3282a8958d474baf" /><Relationship Type="http://schemas.openxmlformats.org/officeDocument/2006/relationships/hyperlink" Target="https://meteor.aihw.gov.au/content/762318" TargetMode="External" Id="R277a1bad189d4e34" /><Relationship Type="http://schemas.openxmlformats.org/officeDocument/2006/relationships/hyperlink" Target="https://www.aihw.gov.au/reports/indigenous-australians/indigenous-primary-health-care-results-osr-nkpi/technical-appendix/technical-notes" TargetMode="External" Id="R4ed38f9af6084917" /><Relationship Type="http://schemas.openxmlformats.org/officeDocument/2006/relationships/hyperlink" Target="https://www.aihw.gov.au/reports/indigenous-australians/indigenous-primary-health-care-results-osr-nkpi/data" TargetMode="External" Id="Rd831cc1b66154f59" /><Relationship Type="http://schemas.openxmlformats.org/officeDocument/2006/relationships/hyperlink" Target="https://meteor.aihw.gov.au/content/747924" TargetMode="External" Id="R5c220ba984444a65" /><Relationship Type="http://schemas.openxmlformats.org/officeDocument/2006/relationships/hyperlink" Target="https://meteor.aihw.gov.au/content/752838" TargetMode="External" Id="R2471a91e6cd544af" /><Relationship Type="http://schemas.openxmlformats.org/officeDocument/2006/relationships/hyperlink" Target="https://meteor.aihw.gov.au/content/706629" TargetMode="External" Id="R6712c92f2f1e404c" /><Relationship Type="http://schemas.openxmlformats.org/officeDocument/2006/relationships/hyperlink" Target="https://meteor.aihw.gov.au/content/743387" TargetMode="External" Id="R6cd3fe0cb9b74898" /><Relationship Type="http://schemas.openxmlformats.org/officeDocument/2006/relationships/hyperlink" Target="https://meteor.aihw.gov.au/content/743402" TargetMode="External" Id="R87988dad855344d3" /><Relationship Type="http://schemas.openxmlformats.org/officeDocument/2006/relationships/hyperlink" Target="https://www.aihw.gov.au/reports/indigenous-australians/indigenous-primary-health-care-results-osr-nkpi/contents/about" TargetMode="External" Id="R253e7c57c5034df0" /><Relationship Type="http://schemas.openxmlformats.org/officeDocument/2006/relationships/hyperlink" Target="https://www.aihw.gov.au/reports/indigenous-australians/indigenous-primary-health-care-results-osr-nkpi/contents/about" TargetMode="External" Id="Rf9710b4cd2144976" /><Relationship Type="http://schemas.openxmlformats.org/officeDocument/2006/relationships/hyperlink" Target="https://meteor.aihw.gov.au/content/757522" TargetMode="External" Id="Ra3903997f3324e7b" /><Relationship Type="http://schemas.openxmlformats.org/officeDocument/2006/relationships/hyperlink" Target="https://meteor.aihw.gov.au/RegistrationAuthority/5" TargetMode="External" Id="R2c6cfe76d67e4b08" /><Relationship Type="http://schemas.openxmlformats.org/officeDocument/2006/relationships/hyperlink" Target="https://meteor.aihw.gov.au/content/777213" TargetMode="External" Id="R4c7d8d806bb14c7d" /><Relationship Type="http://schemas.openxmlformats.org/officeDocument/2006/relationships/hyperlink" Target="https://meteor.aihw.gov.au/RegistrationAuthority/5" TargetMode="External" Id="Rf475d7f41a8e495a" /></Relationships>
</file>

<file path=word/_rels/header1.xml.rels>&#65279;<?xml version="1.0" encoding="utf-8"?><Relationships xmlns="http://schemas.openxmlformats.org/package/2006/relationships"><Relationship Type="http://schemas.openxmlformats.org/officeDocument/2006/relationships/image" Target="/media/image.png" Id="R2ec5959e07d94465" /></Relationships>
</file>