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c1346b43cd49f6"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2021–22;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2021–22;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352a1f89c9487e">
              <w:r>
                <w:rPr>
                  <w:rStyle w:val="Hyperlink"/>
                  <w:color w:val="244061"/>
                </w:rPr>
                <w:t xml:space="preserve">AIHW Data Quality Statements</w:t>
              </w:r>
            </w:hyperlink>
            <w:r>
              <w:rPr>
                <w:rStyle w:val="row-content"/>
                <w:color w:val="244061"/>
              </w:rPr>
              <w:t xml:space="preserve">, Superseded 30/01/2024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2008–09, the Online Services Report (OSR) collection has been conducted annually on organisations that receive Australian Government funding to provide health services to Aboriginal and Torres Strait Islander people. The collection consists of contextual information about each organisation, including client numbers, client contacts, episodes of care, and staffing levels.</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number of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The data items collected varies by period.</w:t>
            </w:r>
          </w:p>
          <w:p>
            <w:pPr>
              <w:pStyle w:val="ListParagraph"/>
              <w:numPr>
                <w:ilvl w:val="0"/>
                <w:numId w:val="2"/>
              </w:numPr>
            </w:pPr>
            <w:r>
              <w:rPr>
                <w:rStyle w:val="row-content-rich-text"/>
              </w:rPr>
              <w:t xml:space="preserve">Unlike in previous periods, reporting for the 2019–20 and 2020–21 periods was 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01f7ab588b164a87">
              <w:r>
                <w:rPr>
                  <w:rStyle w:val="Hyperlink"/>
                </w:rPr>
                <w:t xml:space="preserve">Australian Institute of Health and Welfare Act 1987 (AIHW Act)</w:t>
              </w:r>
            </w:hyperlink>
            <w:r>
              <w:rPr>
                <w:rStyle w:val="row-content-rich-text"/>
              </w:rPr>
              <w:t xml:space="preserve">, governed by a </w:t>
            </w:r>
            <w:hyperlink w:history="true" r:id="Ra6df5ddf353346a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0f315fad83f44688">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28764d255f684b2b">
              <w:r>
                <w:rPr>
                  <w:rStyle w:val="Hyperlink"/>
                </w:rPr>
                <w:t xml:space="preserve">www.aihw.gov.au/about-us</w:t>
              </w:r>
            </w:hyperlink>
            <w:r>
              <w:rPr>
                <w:rStyle w:val="row-content-rich-text"/>
              </w:rPr>
              <w:t xml:space="preserve">, which includes details about the AIHW’s governance (</w:t>
            </w:r>
            <w:hyperlink w:history="true" r:id="R306a09309c684a64">
              <w:r>
                <w:rPr>
                  <w:rStyle w:val="Hyperlink"/>
                </w:rPr>
                <w:t xml:space="preserve">www.aihw.gov.au/about-us/our-governance</w:t>
              </w:r>
            </w:hyperlink>
            <w:r>
              <w:rPr>
                <w:rStyle w:val="row-content-rich-text"/>
              </w:rPr>
              <w:t xml:space="preserve">) and our role and strategic goals (</w:t>
            </w:r>
            <w:hyperlink w:history="true" r:id="Rfca5ef3604b140cc">
              <w:r>
                <w:rPr>
                  <w:rStyle w:val="Hyperlink"/>
                </w:rPr>
                <w:t xml:space="preserve">www.aihw.gov.au/about-us/our-vision-and-strategic-goals</w:t>
              </w:r>
            </w:hyperlink>
            <w:r>
              <w:rPr>
                <w:rStyle w:val="row-content-rich-text"/>
              </w:rPr>
              <w:t xml:space="preserve">).</w:t>
            </w:r>
          </w:p>
          <w:p>
            <w:pPr/>
            <w:r>
              <w:rPr>
                <w:rStyle w:val="row-content-rich-text"/>
              </w:rPr>
              <w:t xml:space="preserve">The OSR data are submitted via the Department of Health and Aged Care’s Health Data Portal (HDP). Cleaned and finalised data from organisations are transferred from the HDP to a data storage facility, the Department of Health and Aged Care’s Enterprise Data Warehouse (EDW). The AIHW has access to the data in order to investigate and improve data quality; compile a national reporting dataset;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organisations annually (for each financial year). The 2021–22 collection covers the period 1 July 2021 to 30 June 2022.</w:t>
            </w:r>
          </w:p>
          <w:p>
            <w:pPr>
              <w:spacing w:after="160"/>
            </w:pPr>
            <w:r>
              <w:rPr>
                <w:rStyle w:val="row-content-rich-text"/>
              </w:rPr>
              <w:t xml:space="preserve">The national reporting dataset cannot be compiled until the Department of Health and Aged Care closes off data submission and submitted data are cleaned and finalised. Up to that date, the AIHW works with organisations to resolve errors or, if unresolved data quality issues remained, to flag the data for exclusion from the national reporting dataset. For the 2021–22 collection, data submission started 1 July 2022 and data were finalised 21 September 2022.</w:t>
            </w:r>
          </w:p>
          <w:p>
            <w:pPr/>
            <w:r>
              <w:rPr>
                <w:rStyle w:val="row-content-rich-text"/>
              </w:rPr>
              <w:t xml:space="preserve">Data from the national reporting dataset were released via the AIHW website 17 January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2021–22 are published in </w:t>
            </w:r>
            <w:hyperlink w:history="true" r:id="Rfad79899525a4ed4">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hyperlink w:history="true" r:id="Rc497dac2d05244f9">
              <w:r>
                <w:rPr>
                  <w:rStyle w:val="Hyperlink"/>
                </w:rPr>
                <w:t xml:space="preserve">dataquality@aihw.gov.au</w:t>
              </w:r>
            </w:hyperlink>
            <w:r>
              <w:rPr>
                <w:rStyle w:val="row-content-rich-text"/>
              </w:rPr>
              <w:t xml:space="preserve"> or via the </w:t>
            </w:r>
            <w:hyperlink w:history="true" r:id="R7ba38f83f9b84e66">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OSR collection is available in the METeOR Data Set Specification for the collection.</w:t>
            </w:r>
          </w:p>
          <w:p>
            <w:pPr/>
            <w:r>
              <w:rPr>
                <w:rStyle w:val="row-content-rich-text"/>
              </w:rPr>
              <w:t xml:space="preserve">Information is also available via the </w:t>
            </w:r>
            <w:hyperlink w:history="true" r:id="R16b31160bb8047f5">
              <w:r>
                <w:rPr>
                  <w:rStyle w:val="Hyperlink"/>
                </w:rPr>
                <w:t xml:space="preserve">Technical appendix</w:t>
              </w:r>
            </w:hyperlink>
            <w:r>
              <w:rPr>
                <w:rStyle w:val="row-content-rich-text"/>
              </w:rPr>
              <w:t xml:space="preserve"> and </w:t>
            </w:r>
            <w:hyperlink w:history="true" r:id="Rfa3bc60aa9714209">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2021–22 OSR collection is organisations receiving funding under the Australian Government’s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MCH organisations are generally not primary health care organisations, and are instead specific programs or services embedded within hospitals, health services, or primary health networks.</w:t>
            </w:r>
          </w:p>
          <w:p>
            <w:pPr>
              <w:spacing w:after="160"/>
            </w:pPr>
            <w:r>
              <w:rPr>
                <w:rStyle w:val="row-content-rich-text"/>
              </w:rPr>
              <w:t xml:space="preserve">Most organisations report on all health/clinical services and related Full Time Equivalent (FTE) staffing levels regardless of the funding source. MCH organisations are only required to report on activities related to the IAHP funding rather than all activities.</w:t>
            </w:r>
          </w:p>
          <w:p>
            <w:pPr>
              <w:spacing w:after="160"/>
            </w:pPr>
            <w:r>
              <w:rPr>
                <w:rStyle w:val="row-content-rich-text"/>
              </w:rPr>
              <w:t xml:space="preserve">The reference period for the 2021–22 collection is 1 July 2021 to 30 June 2022.</w:t>
            </w:r>
          </w:p>
          <w:p>
            <w:pPr/>
            <w:r>
              <w:rPr>
                <w:rStyle w:val="row-content-rich-text"/>
              </w:rPr>
              <w:t xml:space="preserve">Data are available at the national, state/territory and remoteness area levels. In 2021–22 geographic information is recorded based on the physical address of the main site of the organisation. This is used for analysis at jurisdictional and remoteness level. In 2021–22 information was collected on the address of each service delivery site, the availability of services and the estimated number of clients at each site; however, all other information was collected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some reporting periods, not all organisations who are required to report to the collection do so. For 2021–22, 230 (98%) of the 234 organisations that were in-scope to report submitted data. Of the 215 primary health care organisations, 211 (98%) submitted data. </w:t>
            </w:r>
          </w:p>
          <w:p>
            <w:pPr>
              <w:spacing w:after="160"/>
            </w:pPr>
            <w:r>
              <w:rPr>
                <w:rStyle w:val="row-content-rich-text"/>
              </w:rPr>
              <w:t xml:space="preserve">The main clinical information systems (CIS) are able to generate OSR data within their clinical system and transmit it directly to the HDP. Organisations using other CIS manually enter data into a web-based form in the HDP.</w:t>
            </w:r>
          </w:p>
          <w:p>
            <w:pPr>
              <w:spacing w:after="160"/>
            </w:pPr>
            <w:r>
              <w:rPr>
                <w:rStyle w:val="row-content-rich-text"/>
              </w:rPr>
              <w:t xml:space="preserve">The HDP applies a series of validation rules to the data to identify any data quality issues and organisations can correct these issues before submitting their data. In addition, the AIHW checks the quality of the data supplied by each organisation. Where the AIHW identifies possible errors or inconsistencies, organisations are provided with a description of the issue to seek further explanation or invited to resubmit data. Data may be resubmitted until the collection period is closed off by the Department of Health and Aged Care. For 2021–22, the AIHW returned data to 96 out of the 230 organisations who reported that period. Where unresolved data quality issues are identified, the AIHW excludes these data from the national reporting dataset. For the 2021–22 collection, 15 (7%) organisations overall had unresolved validation issues affecting 5 data items at the close of the reporting cycle. Of the primary health care organisations, 15 (7%) organisations had unresolved validation issues affecting 5 data items.</w:t>
            </w:r>
          </w:p>
          <w:p>
            <w:pPr>
              <w:spacing w:after="160"/>
            </w:pPr>
            <w:r>
              <w:rPr>
                <w:rStyle w:val="row-content-rich-text"/>
              </w:rPr>
              <w:t xml:space="preserve">Common data quality queries received during data submission relate to incomplete or inaccurate data (for example, workforce positions not reported or reported in terms of the number of people rather than full-time equivalent positions); data discrepancies between two or more questions (for example, the number of clients exceeding the number of episodes of care); and large increases or decreases in data items compared with previous submissions.</w:t>
            </w:r>
          </w:p>
          <w:p>
            <w:pPr>
              <w:spacing w:after="160"/>
            </w:pPr>
            <w:r>
              <w:rPr>
                <w:rStyle w:val="row-content-rich-text"/>
              </w:rPr>
              <w:t xml:space="preserve">Some organisations were unable to provide exact data and provided estimates of client numbers and episodes of care. In 2021–22, 24 (10%) organisations estimated their episodes of care and 26 (11%) estimated their client numbers. Of the 211 primary health care organisations, 21 (10%) estimated their episodes of care and 22 (10%) estimated their client numbers. These data were accepted unless the AIHW assessed their data were likely to overestimate actual numbers.</w:t>
            </w:r>
          </w:p>
          <w:p>
            <w:pPr>
              <w:spacing w:after="160"/>
            </w:pPr>
            <w:r>
              <w:rPr>
                <w:rStyle w:val="row-content-rich-text"/>
              </w:rPr>
              <w:t xml:space="preserve">Most health FTE positions reported have a corresponding number of client contacts. However, organisations may report FTEs without client contacts, for example, if: </w:t>
            </w:r>
          </w:p>
          <w:p>
            <w:pPr>
              <w:pStyle w:val="ListParagraph"/>
              <w:numPr>
                <w:ilvl w:val="0"/>
                <w:numId w:val="3"/>
              </w:numPr>
            </w:pPr>
            <w:r>
              <w:rPr>
                <w:rStyle w:val="row-content-rich-text"/>
              </w:rPr>
              <w:t xml:space="preserve">the FTE position only ran group activities, as group activities are not included in client contacts</w:t>
            </w:r>
          </w:p>
          <w:p>
            <w:pPr>
              <w:pStyle w:val="ListParagraph"/>
              <w:numPr>
                <w:ilvl w:val="0"/>
                <w:numId w:val="3"/>
              </w:numPr>
            </w:pPr>
            <w:r>
              <w:rPr>
                <w:rStyle w:val="row-content-rich-text"/>
              </w:rPr>
              <w:t xml:space="preserve">the client contacts are aggregated for a group of health professionals because the reporting organisation was unable to separate them</w:t>
            </w:r>
          </w:p>
          <w:p>
            <w:pPr>
              <w:pStyle w:val="ListParagraph"/>
              <w:numPr>
                <w:ilvl w:val="0"/>
                <w:numId w:val="3"/>
              </w:numPr>
            </w:pPr>
            <w:r>
              <w:rPr>
                <w:rStyle w:val="row-content-rich-text"/>
              </w:rPr>
              <w:t xml:space="preserve">visiting health staff were unable to access the CIS to record the client contacts.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2021–22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Information collected</w:t>
            </w:r>
            <w:r>
              <w:rPr>
                <w:rStyle w:val="row-content-rich-text"/>
              </w:rPr>
              <w:t xml:space="preserve"> – The collection began in 2008–09 to replace the Service Activity Reporting, Drug and Alcohol Services Reporting, and Bringing Them Home and Link-up counselling data collections.</w:t>
            </w:r>
          </w:p>
          <w:p>
            <w:pPr>
              <w:spacing w:after="160"/>
            </w:pPr>
            <w:r>
              <w:rPr>
                <w:rStyle w:val="row-content-rich-text"/>
              </w:rPr>
              <w:t xml:space="preserve">In 2012–13, following a review of the OSR collection, a revised collection instrument was introduced. For more details of the changes see the </w:t>
            </w:r>
            <w:hyperlink w:history="true" r:id="R74f9125cc2f04292">
              <w:r>
                <w:rPr>
                  <w:rStyle w:val="Hyperlink"/>
                </w:rPr>
                <w:t xml:space="preserve">Online Services Report (OSR) Database, 2012–13 DQS</w:t>
              </w:r>
            </w:hyperlink>
            <w:r>
              <w:rPr>
                <w:rStyle w:val="row-content-rich-text"/>
              </w:rPr>
              <w:t xml:space="preserve">.</w:t>
            </w:r>
          </w:p>
          <w:p>
            <w:pPr>
              <w:spacing w:after="160"/>
            </w:pPr>
            <w:r>
              <w:rPr>
                <w:rStyle w:val="row-content-rich-text"/>
              </w:rPr>
              <w:t xml:space="preserve">Up to 2017–18, the collection included data from:</w:t>
            </w:r>
          </w:p>
          <w:p>
            <w:pPr>
              <w:pStyle w:val="ListParagraph"/>
              <w:numPr>
                <w:ilvl w:val="0"/>
                <w:numId w:val="4"/>
              </w:numPr>
            </w:pPr>
            <w:r>
              <w:rPr>
                <w:rStyle w:val="row-content-rich-text"/>
              </w:rPr>
              <w:t xml:space="preserve">comprehensive primary health care organisations</w:t>
            </w:r>
          </w:p>
          <w:p>
            <w:pPr>
              <w:pStyle w:val="ListParagraph"/>
              <w:numPr>
                <w:ilvl w:val="0"/>
                <w:numId w:val="4"/>
              </w:numPr>
            </w:pPr>
            <w:r>
              <w:rPr>
                <w:rStyle w:val="row-content-rich-text"/>
              </w:rPr>
              <w:t xml:space="preserve">maternal and child health programs</w:t>
            </w:r>
          </w:p>
          <w:p>
            <w:pPr>
              <w:pStyle w:val="ListParagraph"/>
              <w:numPr>
                <w:ilvl w:val="0"/>
                <w:numId w:val="4"/>
              </w:numPr>
            </w:pPr>
            <w:r>
              <w:rPr>
                <w:rStyle w:val="row-content-rich-text"/>
              </w:rPr>
              <w:t xml:space="preserve">social and emotional wellbeing (SEWB)/Link-up counselling services (funded by The Department of Prime Minister and Cabinet (PM&amp;C))</w:t>
            </w:r>
          </w:p>
          <w:p>
            <w:pPr>
              <w:pStyle w:val="ListParagraph"/>
              <w:numPr>
                <w:ilvl w:val="0"/>
                <w:numId w:val="4"/>
              </w:numPr>
            </w:pPr>
            <w:r>
              <w:rPr>
                <w:rStyle w:val="row-content-rich-text"/>
              </w:rPr>
              <w:t xml:space="preserve">standalone substance use services (funded by PM&amp;C).</w:t>
            </w:r>
          </w:p>
          <w:p>
            <w:pPr>
              <w:spacing w:after="160"/>
            </w:pPr>
            <w:r>
              <w:rPr>
                <w:rStyle w:val="row-content-rich-text"/>
              </w:rPr>
              <w:t xml:space="preserve">In 2018–19, the OSR collection underwent significant change and was scaled back to include only ‘core’ items. Items dropped include the PM&amp;C funded modules on substance use and social and emotional wellbeing, along with the services provided and cultural safety items. Plans are underway to reintroduce or add key items in a staged approach over the next few years (see the </w:t>
            </w:r>
            <w:hyperlink w:history="true" r:id="Rf9f5f58db0364e2a">
              <w:r>
                <w:rPr>
                  <w:rStyle w:val="Hyperlink"/>
                </w:rPr>
                <w:t xml:space="preserve">Health Data Portal: Online Services Report</w:t>
              </w:r>
            </w:hyperlink>
            <w:r>
              <w:rPr>
                <w:rStyle w:val="row-content-rich-text"/>
              </w:rPr>
              <w:t xml:space="preserve">).</w:t>
            </w:r>
          </w:p>
          <w:p>
            <w:pPr>
              <w:spacing w:after="160"/>
            </w:pPr>
            <w:r>
              <w:rPr>
                <w:rStyle w:val="row-content-rich-text"/>
              </w:rPr>
              <w:t xml:space="preserve">For collections prior to 2018–19, specific questions for maternal and child health (MCH) organisations were included in a separate module. In 2018–19, these were integrated but the data MCH organisations were required to report was only focused on what they received MCH funding for, not all types of health services the health organisation offered.</w:t>
            </w:r>
          </w:p>
          <w:p>
            <w:pPr>
              <w:spacing w:after="160"/>
            </w:pPr>
            <w:r>
              <w:rPr>
                <w:rStyle w:val="row-content-rich-text"/>
              </w:rPr>
              <w:t xml:space="preserve">In the 2019–20 collection, items were added to collect the address of each service delivery site and the availability of services at each site.</w:t>
            </w:r>
          </w:p>
          <w:p>
            <w:pPr>
              <w:spacing w:after="160"/>
            </w:pPr>
            <w:r>
              <w:rPr>
                <w:rStyle w:val="row-content-rich-text"/>
              </w:rPr>
              <w:t xml:space="preserve">In the 2020–21 collection, the question on the number of clients seen was collected by age group in addition to the other disaggregations. Additional organisation profile questions were also added about who the organisation is incorporated with, whether it is not-for-profit and board member training and skills.</w:t>
            </w:r>
          </w:p>
          <w:p>
            <w:pPr>
              <w:spacing w:after="160"/>
            </w:pPr>
            <w:r>
              <w:rPr>
                <w:rStyle w:val="row-content-rich-text"/>
              </w:rPr>
              <w:t xml:space="preserve">In the 2021–22 collection, questions were added on the number and proportion of clients by Indigenous status at each service delivery site. An additional sub-question was also added underneath the question about whether the organisation has a Governing Committee or Board. The new question asks whether details are known about the Governing Committee or Board.</w:t>
            </w:r>
          </w:p>
          <w:p>
            <w:pPr>
              <w:spacing w:after="160"/>
            </w:pPr>
            <w:r>
              <w:rPr>
                <w:rStyle w:val="row-content-rich-text"/>
                <w:b/>
              </w:rPr>
              <w:t xml:space="preserve">Organisations reporting to the collection</w:t>
            </w:r>
            <w:r>
              <w:rPr>
                <w:rStyle w:val="row-content-rich-text"/>
              </w:rPr>
              <w:t xml:space="preserve"> – while for the most part it is the same organisations reporting to the collection each period, as a result of changes in funding, auspicing or reporting arrangements at the local level:</w:t>
            </w:r>
          </w:p>
          <w:p>
            <w:pPr>
              <w:pStyle w:val="ListParagraph"/>
              <w:numPr>
                <w:ilvl w:val="0"/>
                <w:numId w:val="5"/>
              </w:numPr>
            </w:pPr>
            <w:r>
              <w:rPr>
                <w:rStyle w:val="row-content-rich-text"/>
              </w:rPr>
              <w:t xml:space="preserve">the organisations that are funded to provide services vary between periods</w:t>
            </w:r>
          </w:p>
          <w:p>
            <w:pPr>
              <w:pStyle w:val="ListParagraph"/>
              <w:numPr>
                <w:ilvl w:val="0"/>
                <w:numId w:val="5"/>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b/>
              </w:rPr>
              <w:t xml:space="preserve">New Directions</w:t>
            </w:r>
            <w:r>
              <w:rPr>
                <w:rStyle w:val="row-content-rich-text"/>
              </w:rPr>
              <w:t xml:space="preserve"> – Mothers and Babies services were in scope for the OSR for the first time in the 2013–14 collection. For more details see the </w:t>
            </w:r>
            <w:hyperlink w:history="true" r:id="Re5fe099ac2784d57">
              <w:r>
                <w:rPr>
                  <w:rStyle w:val="Hyperlink"/>
                </w:rPr>
                <w:t xml:space="preserve">Online Services Report (OSR) Database, 2013–14 DQS</w:t>
              </w:r>
            </w:hyperlink>
            <w:r>
              <w:rPr>
                <w:rStyle w:val="row-content-rich-text"/>
              </w:rPr>
              <w:t xml:space="preserve">.</w:t>
            </w:r>
          </w:p>
          <w:p>
            <w:pPr>
              <w:spacing w:after="160"/>
            </w:pPr>
            <w:r>
              <w:rPr>
                <w:rStyle w:val="row-content-rich-text"/>
                <w:b/>
              </w:rPr>
              <w:t xml:space="preserve">Data quality and exclusions</w:t>
            </w:r>
            <w:r>
              <w:rPr>
                <w:rStyle w:val="row-content-rich-text"/>
              </w:rPr>
              <w:t xml:space="preserve"> – the quality of data, and the exclusions applied to data items, vary by period as does the number of organisations submitting valid data, on the whole or for a particular data item. 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rPr>
              <w:t xml:space="preserve">Episodes of care data for 2016–17 are not comparable with other years because changes were made to the types of contacts counted as an episode of care. For more details see the </w:t>
            </w:r>
            <w:hyperlink w:history="true" r:id="Rbd2c17f15ae745e0">
              <w:r>
                <w:rPr>
                  <w:rStyle w:val="Hyperlink"/>
                </w:rPr>
                <w:t xml:space="preserve">Online Services Report (OSR) Database, 2016–17 DQS</w:t>
              </w:r>
            </w:hyperlink>
            <w:r>
              <w:rPr>
                <w:rStyle w:val="row-content-rich-text"/>
              </w:rPr>
              <w:t xml:space="preserve">.</w:t>
            </w:r>
          </w:p>
          <w:p>
            <w:pPr>
              <w:spacing w:after="160"/>
            </w:pPr>
            <w:r>
              <w:rPr>
                <w:rStyle w:val="row-content-rich-text"/>
                <w:b/>
              </w:rPr>
              <w:t xml:space="preserve">Collection methodology:</w:t>
            </w:r>
          </w:p>
          <w:p>
            <w:pPr>
              <w:pStyle w:val="ListParagraph"/>
              <w:numPr>
                <w:ilvl w:val="0"/>
                <w:numId w:val="6"/>
              </w:numPr>
            </w:pPr>
            <w:r>
              <w:rPr>
                <w:rStyle w:val="row-content-rich-text"/>
              </w:rPr>
              <w:t xml:space="preserve">Data were collected by the AIHW for the first time in 2008–09 using a paper-based OSR questionnaire. It would not be appropriate to make time series comparisons with data collected by the Department of Health and Aged Care prior to 2008–09, due to differences in the collection methodology and scope of the collection.</w:t>
            </w:r>
          </w:p>
          <w:p>
            <w:pPr>
              <w:pStyle w:val="ListParagraph"/>
              <w:numPr>
                <w:ilvl w:val="0"/>
                <w:numId w:val="6"/>
              </w:numPr>
            </w:pPr>
            <w:r>
              <w:rPr>
                <w:rStyle w:val="row-content-rich-text"/>
              </w:rPr>
              <w:t xml:space="preserve">From 2012–13, the collection was also assisted by the introduction of the PenCAT audit tool and the OCHREStreams online reporting portal, developed and maintained by the Improvement Foundation for the DoH. For more details see the </w:t>
            </w:r>
            <w:hyperlink w:history="true" r:id="Rb8c59c04567643e0">
              <w:r>
                <w:rPr>
                  <w:rStyle w:val="Hyperlink"/>
                </w:rPr>
                <w:t xml:space="preserve">Online Services Report (OSR) Database, 2012–13 DQS</w:t>
              </w:r>
            </w:hyperlink>
            <w:r>
              <w:rPr>
                <w:rStyle w:val="row-content-rich-text"/>
              </w:rPr>
              <w:t xml:space="preserve">.</w:t>
            </w:r>
          </w:p>
          <w:p>
            <w:pPr>
              <w:pStyle w:val="ListParagraph"/>
              <w:numPr>
                <w:ilvl w:val="0"/>
                <w:numId w:val="6"/>
              </w:numPr>
            </w:pPr>
            <w:r>
              <w:rPr>
                <w:rStyle w:val="row-content-rich-text"/>
              </w:rPr>
              <w:t xml:space="preserve">The PenCAT tool was not available for use for extracting data onto OCHREStreams from 1 July 2015 and was not used for the 2015–16 collection. For this collection organisations relied on their own data extraction processes and manually entered this data onto OCHREStreams.</w:t>
            </w:r>
          </w:p>
          <w:p>
            <w:pPr>
              <w:pStyle w:val="ListParagraph"/>
              <w:numPr>
                <w:ilvl w:val="0"/>
                <w:numId w:val="6"/>
              </w:numPr>
            </w:pPr>
            <w:r>
              <w:rPr>
                <w:rStyle w:val="row-content-rich-text"/>
              </w:rPr>
              <w:t xml:space="preserve">From 2016–17 the data extraction process was changed to a direct load process to extract data directly from an organisations CIS onto OCHREStreams. For more details see the </w:t>
            </w:r>
            <w:hyperlink w:history="true" r:id="R5c121f7d85b440c6">
              <w:r>
                <w:rPr>
                  <w:rStyle w:val="Hyperlink"/>
                </w:rPr>
                <w:t xml:space="preserve">Online Services Report (OSR) Database, 2016–17 DQS</w:t>
              </w:r>
            </w:hyperlink>
            <w:r>
              <w:rPr>
                <w:rStyle w:val="row-content-rich-text"/>
              </w:rPr>
              <w:t xml:space="preserve">.</w:t>
            </w:r>
          </w:p>
          <w:p>
            <w:pPr>
              <w:pStyle w:val="ListParagraph"/>
              <w:numPr>
                <w:ilvl w:val="0"/>
                <w:numId w:val="6"/>
              </w:numPr>
            </w:pPr>
            <w:r>
              <w:rPr>
                <w:rStyle w:val="row-content-rich-text"/>
              </w:rPr>
              <w:t xml:space="preserve">The 2018–19 collection was the first collection in which organisations submitted data via the HDP rather than OCHREStreams.</w:t>
            </w:r>
          </w:p>
          <w:p>
            <w:pPr>
              <w:spacing w:after="160"/>
            </w:pPr>
            <w:r>
              <w:rPr>
                <w:rStyle w:val="row-content-rich-text"/>
                <w:b/>
              </w:rPr>
              <w:t xml:space="preserve">Collection period</w:t>
            </w:r>
            <w:r>
              <w:rPr>
                <w:rStyle w:val="row-content-rich-text"/>
              </w:rPr>
              <w:t xml:space="preserve"> – In 2014–15, the Census date for the collection was brought forward by 1 month to 31 May 2015, rather than 30 June 2015. For more details see the </w:t>
            </w:r>
            <w:hyperlink w:history="true" r:id="R7834349c29634aa4">
              <w:r>
                <w:rPr>
                  <w:rStyle w:val="Hyperlink"/>
                </w:rPr>
                <w:t xml:space="preserve">Online Services Report (OSR) Database, 2014–15 DQS</w:t>
              </w:r>
            </w:hyperlink>
            <w:r>
              <w:rPr>
                <w:rStyle w:val="row-content-rich-text"/>
              </w:rPr>
              <w:t xml:space="preserve">.</w:t>
            </w:r>
          </w:p>
          <w:p>
            <w:pPr>
              <w:spacing w:after="160"/>
            </w:pPr>
            <w:r>
              <w:rPr>
                <w:rStyle w:val="row-content-rich-text"/>
                <w:b/>
              </w:rPr>
              <w:t xml:space="preserve">Effect of COVID-19</w:t>
            </w:r>
            <w:r>
              <w:rPr>
                <w:rStyle w:val="row-content-rich-text"/>
              </w:rPr>
              <w:t xml:space="preserve"> – Some impact from the coronavirus disease 2019 (COVID-19) pandemic (the pandemic) can be seen in the 2021–22 results from the OSR collection compared with previous periods. Although there are no COVID-19 specific items in the OSR collection, organisations that provided comments about variations in selected data items indicated that, in 2021–22:</w:t>
            </w:r>
          </w:p>
          <w:p>
            <w:pPr>
              <w:pStyle w:val="ListParagraph"/>
              <w:numPr>
                <w:ilvl w:val="0"/>
                <w:numId w:val="7"/>
              </w:numPr>
            </w:pPr>
            <w:r>
              <w:rPr>
                <w:rStyle w:val="row-content-rich-text"/>
              </w:rPr>
              <w:t xml:space="preserve">in addition to their usual clients, additional clients attended their sites specifically for COVID-19 vaccinations (that is, not for other primary health care services)</w:t>
            </w:r>
          </w:p>
          <w:p>
            <w:pPr>
              <w:pStyle w:val="ListParagraph"/>
              <w:numPr>
                <w:ilvl w:val="0"/>
                <w:numId w:val="7"/>
              </w:numPr>
            </w:pPr>
            <w:r>
              <w:rPr>
                <w:rStyle w:val="row-content-rich-text"/>
              </w:rPr>
              <w:t xml:space="preserve">their usual clients began returning to their sites for primary health care services after COVID-19 restrictions ceased.</w:t>
            </w:r>
          </w:p>
          <w:p>
            <w:pPr/>
            <w:r>
              <w:rPr>
                <w:rStyle w:val="row-content-rich-text"/>
              </w:rPr>
              <w:t xml:space="preserve">However, variation between periods cannot be tied completely to the effects of the pandemic, and a combination of other factors as listed previously in this section also affects results over time. See </w:t>
            </w:r>
            <w:hyperlink w:history="true" r:id="R7d5c9d28b5d04002">
              <w:r>
                <w:rPr>
                  <w:rStyle w:val="Hyperlink"/>
                </w:rPr>
                <w:t xml:space="preserve">Aboriginal and Torres Strait Islander specific primary health care: results from the nKPI and OSR collections</w:t>
              </w:r>
            </w:hyperlink>
            <w:r>
              <w:rPr>
                <w:rStyle w:val="row-content-rich-text"/>
              </w:rPr>
              <w:t xml:space="preserve"> for more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d4ba9ad5b44275">
              <w:r>
                <w:rPr>
                  <w:rStyle w:val="Hyperlink"/>
                </w:rPr>
                <w:t xml:space="preserve">Online Services Report (OSR) Database, 2020–21; Quality Statement</w:t>
              </w:r>
            </w:hyperlink>
          </w:p>
          <w:p>
            <w:pPr>
              <w:spacing w:before="0" w:after="0"/>
            </w:pPr>
            <w:r>
              <w:rPr>
                <w:rStyle w:val="row-content"/>
                <w:color w:val="244061"/>
              </w:rPr>
              <w:t xml:space="preserve">       </w:t>
            </w:r>
            <w:hyperlink w:history="true" r:id="R14893ac6004c43b3">
              <w:r>
                <w:rPr>
                  <w:rStyle w:val="Hyperlink"/>
                  <w:color w:val="244061"/>
                </w:rPr>
                <w:t xml:space="preserve">AIHW Data Quality Statements</w:t>
              </w:r>
            </w:hyperlink>
            <w:r>
              <w:rPr>
                <w:rStyle w:val="row-content"/>
                <w:color w:val="244061"/>
              </w:rPr>
              <w:t xml:space="preserve">, Superseded 17/01/2023</w:t>
            </w:r>
          </w:p>
          <w:p>
            <w:r>
              <w:br/>
            </w:r>
            <w:r>
              <w:rPr>
                <w:rStyle w:val="row-content"/>
              </w:rPr>
              <w:t xml:space="preserve">Has been superseded by </w:t>
            </w:r>
            <w:hyperlink w:history="true" r:id="R9b7b845a90904538">
              <w:r>
                <w:rPr>
                  <w:rStyle w:val="Hyperlink"/>
                </w:rPr>
                <w:t xml:space="preserve">Online Services Report (OSR) for Aboriginal and Torres Strait Islander specific primary health care organisations, 2022–23; Quality Statement</w:t>
              </w:r>
            </w:hyperlink>
          </w:p>
          <w:p>
            <w:pPr>
              <w:spacing w:before="0" w:after="0"/>
            </w:pPr>
            <w:r>
              <w:rPr>
                <w:rStyle w:val="row-content"/>
                <w:color w:val="244061"/>
              </w:rPr>
              <w:t xml:space="preserve">       </w:t>
            </w:r>
            <w:hyperlink w:history="true" r:id="Rd0301e50d60b4ade">
              <w:r>
                <w:rPr>
                  <w:rStyle w:val="Hyperlink"/>
                  <w:color w:val="244061"/>
                </w:rPr>
                <w:t xml:space="preserve">AIHW Data Quality Statements</w:t>
              </w:r>
            </w:hyperlink>
            <w:r>
              <w:rPr>
                <w:rStyle w:val="row-content"/>
                <w:color w:val="244061"/>
              </w:rPr>
              <w:t xml:space="preserve">, Standard 30/01/2024</w:t>
            </w:r>
          </w:p>
          <w:p>
            <w:r>
              <w:br/>
            </w:r>
          </w:p>
        </w:tc>
      </w:tr>
    </w:tbl>
    <w:p>
      <w:r>
        <w:br/>
      </w:r>
    </w:p>
    <w:sectPr>
      <w:footerReference xmlns:r="http://schemas.openxmlformats.org/officeDocument/2006/relationships" w:type="default" r:id="R0518a5905b0544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769791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9338dd3f3148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8a5905b0544f3" /><Relationship Type="http://schemas.openxmlformats.org/officeDocument/2006/relationships/header" Target="/word/header1.xml" Id="Ra362d46978b04f1f" /><Relationship Type="http://schemas.openxmlformats.org/officeDocument/2006/relationships/settings" Target="/word/settings.xml" Id="R04ebb40f0c034652" /><Relationship Type="http://schemas.openxmlformats.org/officeDocument/2006/relationships/styles" Target="/word/styles.xml" Id="Ref00bf587be34867" /><Relationship Type="http://schemas.openxmlformats.org/officeDocument/2006/relationships/hyperlink" Target="https://meteor.aihw.gov.au/RegistrationAuthority/5" TargetMode="External" Id="R0f352a1f89c9487e" /><Relationship Type="http://schemas.openxmlformats.org/officeDocument/2006/relationships/numbering" Target="/word/numbering.xml" Id="Rd438ecc002c24a4d" /><Relationship Type="http://schemas.openxmlformats.org/officeDocument/2006/relationships/hyperlink" Target="http://www.comlaw.gov.au/Series/C2004A03450" TargetMode="External" Id="R01f7ab588b164a87" /><Relationship Type="http://schemas.openxmlformats.org/officeDocument/2006/relationships/hyperlink" Target="https://www.aihw.gov.au/about-us/our-governance" TargetMode="External" Id="Ra6df5ddf353346a0" /><Relationship Type="http://schemas.openxmlformats.org/officeDocument/2006/relationships/hyperlink" Target="https://www.legislation.gov.au/Series/C2004A03712" TargetMode="External" Id="R0f315fad83f44688" /><Relationship Type="http://schemas.openxmlformats.org/officeDocument/2006/relationships/hyperlink" Target="https://www.aihw.gov.au/about-us" TargetMode="External" Id="R28764d255f684b2b" /><Relationship Type="http://schemas.openxmlformats.org/officeDocument/2006/relationships/hyperlink" Target="https://www.aihw.gov.au/about-us/our-governance" TargetMode="External" Id="R306a09309c684a64" /><Relationship Type="http://schemas.openxmlformats.org/officeDocument/2006/relationships/hyperlink" Target="https://www.aihw.gov.au/about-us/our-vision-and-strategic-goals" TargetMode="External" Id="Rfca5ef3604b140cc" /><Relationship Type="http://schemas.openxmlformats.org/officeDocument/2006/relationships/hyperlink" Target="https://www.aihw.gov.au/reports/indigenous-australians/indigenous-primary-health-care-results-osr-nkpi/overview/summary" TargetMode="External" Id="Rfad79899525a4ed4" /><Relationship Type="http://schemas.openxmlformats.org/officeDocument/2006/relationships/hyperlink" Target="mailto:dataquality@aihw.gov.au" TargetMode="External" Id="Rc497dac2d05244f9" /><Relationship Type="http://schemas.openxmlformats.org/officeDocument/2006/relationships/hyperlink" Target="https://www.aihw.gov.au/our-services/data-on-request" TargetMode="External" Id="R7ba38f83f9b84e66" /><Relationship Type="http://schemas.openxmlformats.org/officeDocument/2006/relationships/hyperlink" Target="https://www.aihw.gov.au/reports/indigenous-australians/indigenous-primary-health-care-results-osr-nkpi/technical-appendix/technical-notes" TargetMode="External" Id="R16b31160bb8047f5" /><Relationship Type="http://schemas.openxmlformats.org/officeDocument/2006/relationships/hyperlink" Target="https://www.aihw.gov.au/reports/indigenous-australians/indigenous-primary-health-care-results-osr-nkpi/data" TargetMode="External" Id="Rfa3bc60aa9714209" /><Relationship Type="http://schemas.openxmlformats.org/officeDocument/2006/relationships/hyperlink" Target="https://meteor.aihw.gov.au/content/561251" TargetMode="External" Id="R74f9125cc2f04292" /><Relationship Type="http://schemas.openxmlformats.org/officeDocument/2006/relationships/hyperlink" Target="https://www1.health.gov.au/internet/main/publishing.nsf/Content/health-data-portal-online-services-report-july-2020" TargetMode="External" Id="Rf9f5f58db0364e2a" /><Relationship Type="http://schemas.openxmlformats.org/officeDocument/2006/relationships/hyperlink" Target="https://meteor.aihw.gov.au/content/601336" TargetMode="External" Id="Re5fe099ac2784d57" /><Relationship Type="http://schemas.openxmlformats.org/officeDocument/2006/relationships/hyperlink" Target="https://meteor.aihw.gov.au/content/688427" TargetMode="External" Id="Rbd2c17f15ae745e0" /><Relationship Type="http://schemas.openxmlformats.org/officeDocument/2006/relationships/hyperlink" Target="https://meteor.aihw.gov.au/content/561251" TargetMode="External" Id="Rb8c59c04567643e0" /><Relationship Type="http://schemas.openxmlformats.org/officeDocument/2006/relationships/hyperlink" Target="https://meteor.aihw.gov.au/content/688427" TargetMode="External" Id="R5c121f7d85b440c6" /><Relationship Type="http://schemas.openxmlformats.org/officeDocument/2006/relationships/hyperlink" Target="https://meteor.aihw.gov.au/content/623095" TargetMode="External" Id="R7834349c29634aa4" /><Relationship Type="http://schemas.openxmlformats.org/officeDocument/2006/relationships/hyperlink" Target="https://www.aihw.gov.au/reports/indigenous-australians/indigenous-primary-health-care-results-osr-nkpi/contents/about" TargetMode="External" Id="R7d5c9d28b5d04002" /><Relationship Type="http://schemas.openxmlformats.org/officeDocument/2006/relationships/hyperlink" Target="https://meteor.aihw.gov.au/content/752813" TargetMode="External" Id="Rffd4ba9ad5b44275" /><Relationship Type="http://schemas.openxmlformats.org/officeDocument/2006/relationships/hyperlink" Target="https://meteor.aihw.gov.au/RegistrationAuthority/5" TargetMode="External" Id="R14893ac6004c43b3" /><Relationship Type="http://schemas.openxmlformats.org/officeDocument/2006/relationships/hyperlink" Target="https://meteor.aihw.gov.au/content/785492" TargetMode="External" Id="R9b7b845a90904538" /><Relationship Type="http://schemas.openxmlformats.org/officeDocument/2006/relationships/hyperlink" Target="https://meteor.aihw.gov.au/RegistrationAuthority/5" TargetMode="External" Id="Rd0301e50d60b4ade" /></Relationships>
</file>

<file path=word/_rels/header1.xml.rels>&#65279;<?xml version="1.0" encoding="utf-8"?><Relationships xmlns="http://schemas.openxmlformats.org/package/2006/relationships"><Relationship Type="http://schemas.openxmlformats.org/officeDocument/2006/relationships/image" Target="/media/image.png" Id="R359338dd3f314879" /></Relationships>
</file>