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37537621404a6b" /></Relationships>
</file>

<file path=word/document.xml><?xml version="1.0" encoding="utf-8"?>
<w:document xmlns:r="http://schemas.openxmlformats.org/officeDocument/2006/relationships" xmlns:w="http://schemas.openxmlformats.org/wordprocessingml/2006/main">
  <w:body>
    <w:p>
      <w:pPr>
        <w:pStyle w:val="Title"/>
      </w:pPr>
      <w:r>
        <w:t>Establishment—peer group, health code A[X]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Establishment—peer group, health code A[X]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establishment peer group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a908e91f4d4b68">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assigned to a health establishment based on shared characteristics,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822bb8cade44c6">
              <w:r>
                <w:rPr>
                  <w:rStyle w:val="Hyperlink"/>
                </w:rPr>
                <w:t xml:space="preserve">Establishment—peer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758a338f704428">
              <w:r>
                <w:rPr>
                  <w:rStyle w:val="Hyperlink"/>
                </w:rPr>
                <w:t xml:space="preserve">Health establishment peer group code A[X]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A1</w:t>
            </w:r>
          </w:p>
        </w:tc>
        <w:tc>
          <w:tcPr>
            <w:tcBorders>
              <w:top w:val="none" w:color="000000" w:sz="0"/>
              <w:left w:val="none" w:color="000000" w:sz="0"/>
              <w:bottom w:val="none" w:color="000000" w:sz="0"/>
              <w:right w:val="none" w:color="000000" w:sz="0"/>
            </w:tcBorders>
            <w:vAlign w:val="top"/>
          </w:tcPr>
          <w:p>
            <w:r>
              <w:t xml:space="preserve">Principal referral and specialist women’s and 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A2</w:t>
            </w:r>
          </w:p>
        </w:tc>
        <w:tc>
          <w:tcPr>
            <w:tcBorders>
              <w:top w:val="none" w:color="000000" w:sz="0"/>
              <w:left w:val="none" w:color="000000" w:sz="0"/>
              <w:bottom w:val="none" w:color="000000" w:sz="0"/>
              <w:right w:val="none" w:color="000000" w:sz="0"/>
            </w:tcBorders>
            <w:vAlign w:val="top"/>
          </w:tcPr>
          <w:p>
            <w:r>
              <w:t xml:space="preserve">Principal referral and specialist women’s and 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B1</w:t>
            </w:r>
          </w:p>
        </w:tc>
        <w:tc>
          <w:tcPr>
            <w:tcBorders>
              <w:top w:val="none" w:color="000000" w:sz="0"/>
              <w:left w:val="none" w:color="000000" w:sz="0"/>
              <w:bottom w:val="none" w:color="000000" w:sz="0"/>
              <w:right w:val="none" w:color="000000" w:sz="0"/>
            </w:tcBorders>
            <w:vAlign w:val="top"/>
          </w:tcPr>
          <w:p>
            <w:r>
              <w:t xml:space="preserve">Large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B2</w:t>
            </w:r>
          </w:p>
        </w:tc>
        <w:tc>
          <w:tcPr>
            <w:tcBorders>
              <w:top w:val="none" w:color="000000" w:sz="0"/>
              <w:left w:val="none" w:color="000000" w:sz="0"/>
              <w:bottom w:val="none" w:color="000000" w:sz="0"/>
              <w:right w:val="none" w:color="000000" w:sz="0"/>
            </w:tcBorders>
            <w:vAlign w:val="top"/>
          </w:tcPr>
          <w:p>
            <w:r>
              <w:t xml:space="preserve">Large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w:t>
            </w:r>
          </w:p>
        </w:tc>
        <w:tc>
          <w:tcPr>
            <w:tcBorders>
              <w:top w:val="none" w:color="000000" w:sz="0"/>
              <w:left w:val="none" w:color="000000" w:sz="0"/>
              <w:bottom w:val="none" w:color="000000" w:sz="0"/>
              <w:right w:val="none" w:color="000000" w:sz="0"/>
            </w:tcBorders>
            <w:vAlign w:val="top"/>
          </w:tcPr>
          <w:p>
            <w:r>
              <w:t xml:space="preserve">Medium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C2</w:t>
            </w:r>
          </w:p>
        </w:tc>
        <w:tc>
          <w:tcPr>
            <w:tcBorders>
              <w:top w:val="none" w:color="000000" w:sz="0"/>
              <w:left w:val="none" w:color="000000" w:sz="0"/>
              <w:bottom w:val="none" w:color="000000" w:sz="0"/>
              <w:right w:val="none" w:color="000000" w:sz="0"/>
            </w:tcBorders>
            <w:vAlign w:val="top"/>
          </w:tcPr>
          <w:p>
            <w:r>
              <w:t xml:space="preserve">Medium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D1</w:t>
            </w:r>
          </w:p>
        </w:tc>
        <w:tc>
          <w:tcPr>
            <w:tcBorders>
              <w:top w:val="none" w:color="000000" w:sz="0"/>
              <w:left w:val="none" w:color="000000" w:sz="0"/>
              <w:bottom w:val="none" w:color="000000" w:sz="0"/>
              <w:right w:val="none" w:color="000000" w:sz="0"/>
            </w:tcBorders>
            <w:vAlign w:val="top"/>
          </w:tcPr>
          <w:p>
            <w:r>
              <w:t xml:space="preserve">Small 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D2</w:t>
            </w:r>
          </w:p>
        </w:tc>
        <w:tc>
          <w:tcPr>
            <w:tcBorders>
              <w:top w:val="none" w:color="000000" w:sz="0"/>
              <w:left w:val="none" w:color="000000" w:sz="0"/>
              <w:bottom w:val="none" w:color="000000" w:sz="0"/>
              <w:right w:val="none" w:color="000000" w:sz="0"/>
            </w:tcBorders>
            <w:vAlign w:val="top"/>
          </w:tcPr>
          <w:p>
            <w:r>
              <w:t xml:space="preserve">Sub-acute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D3</w:t>
            </w:r>
          </w:p>
        </w:tc>
        <w:tc>
          <w:tcPr>
            <w:tcBorders>
              <w:top w:val="none" w:color="000000" w:sz="0"/>
              <w:left w:val="none" w:color="000000" w:sz="0"/>
              <w:bottom w:val="none" w:color="000000" w:sz="0"/>
              <w:right w:val="none" w:color="000000" w:sz="0"/>
            </w:tcBorders>
            <w:vAlign w:val="top"/>
          </w:tcPr>
          <w:p>
            <w:r>
              <w:t xml:space="preserve">Small 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E2</w:t>
            </w:r>
          </w:p>
        </w:tc>
        <w:tc>
          <w:tcPr>
            <w:tcBorders>
              <w:top w:val="none" w:color="000000" w:sz="0"/>
              <w:left w:val="none" w:color="000000" w:sz="0"/>
              <w:bottom w:val="none" w:color="000000" w:sz="0"/>
              <w:right w:val="none" w:color="000000" w:sz="0"/>
            </w:tcBorders>
            <w:vAlign w:val="top"/>
          </w:tcPr>
          <w:p>
            <w:r>
              <w:t xml:space="preserve">Sub-acute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E3</w:t>
            </w:r>
          </w:p>
        </w:tc>
        <w:tc>
          <w:tcPr>
            <w:tcBorders>
              <w:top w:val="none" w:color="000000" w:sz="0"/>
              <w:left w:val="none" w:color="000000" w:sz="0"/>
              <w:bottom w:val="none" w:color="000000" w:sz="0"/>
              <w:right w:val="none" w:color="000000" w:sz="0"/>
            </w:tcBorders>
            <w:vAlign w:val="top"/>
          </w:tcPr>
          <w:p>
            <w:r>
              <w:t xml:space="preserve">Sub-acute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E4</w:t>
            </w:r>
          </w:p>
        </w:tc>
        <w:tc>
          <w:tcPr>
            <w:tcBorders>
              <w:top w:val="none" w:color="000000" w:sz="0"/>
              <w:left w:val="none" w:color="000000" w:sz="0"/>
              <w:bottom w:val="none" w:color="000000" w:sz="0"/>
              <w:right w:val="none" w:color="000000" w:sz="0"/>
            </w:tcBorders>
            <w:vAlign w:val="top"/>
          </w:tcPr>
          <w:p>
            <w:r>
              <w:t xml:space="preserve">Sub-acute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E5</w:t>
            </w:r>
          </w:p>
        </w:tc>
        <w:tc>
          <w:tcPr>
            <w:tcBorders>
              <w:top w:val="none" w:color="000000" w:sz="0"/>
              <w:left w:val="none" w:color="000000" w:sz="0"/>
              <w:bottom w:val="none" w:color="000000" w:sz="0"/>
              <w:right w:val="none" w:color="000000" w:sz="0"/>
            </w:tcBorders>
            <w:vAlign w:val="top"/>
          </w:tcPr>
          <w:p>
            <w:r>
              <w:t xml:space="preserve">Sub-acute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E9</w:t>
            </w:r>
          </w:p>
        </w:tc>
        <w:tc>
          <w:tcPr>
            <w:tcBorders>
              <w:top w:val="none" w:color="000000" w:sz="0"/>
              <w:left w:val="none" w:color="000000" w:sz="0"/>
              <w:bottom w:val="none" w:color="000000" w:sz="0"/>
              <w:right w:val="none" w:color="000000" w:sz="0"/>
            </w:tcBorders>
            <w:vAlign w:val="top"/>
          </w:tcPr>
          <w:p>
            <w:r>
              <w:t xml:space="preserve">Sub-acute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Unpeered and other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DL</w:t>
            </w:r>
          </w:p>
        </w:tc>
        <w:tc>
          <w:tcPr>
            <w:tcBorders>
              <w:top w:val="none" w:color="000000" w:sz="0"/>
              <w:left w:val="none" w:color="000000" w:sz="0"/>
              <w:bottom w:val="none" w:color="000000" w:sz="0"/>
              <w:right w:val="none" w:color="000000" w:sz="0"/>
            </w:tcBorders>
            <w:vAlign w:val="top"/>
          </w:tcPr>
          <w:p>
            <w:r>
              <w:t xml:space="preserve">Large stand-alone day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DM</w:t>
            </w:r>
          </w:p>
        </w:tc>
        <w:tc>
          <w:tcPr>
            <w:tcBorders>
              <w:top w:val="none" w:color="000000" w:sz="0"/>
              <w:left w:val="none" w:color="000000" w:sz="0"/>
              <w:bottom w:val="none" w:color="000000" w:sz="0"/>
              <w:right w:val="none" w:color="000000" w:sz="0"/>
            </w:tcBorders>
            <w:vAlign w:val="top"/>
          </w:tcPr>
          <w:p>
            <w:r>
              <w:t xml:space="preserve">Medium stand-alone day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w:t>
            </w:r>
          </w:p>
        </w:tc>
        <w:tc>
          <w:tcPr>
            <w:tcBorders>
              <w:top w:val="none" w:color="000000" w:sz="0"/>
              <w:left w:val="none" w:color="000000" w:sz="0"/>
              <w:bottom w:val="none" w:color="000000" w:sz="0"/>
              <w:right w:val="none" w:color="000000" w:sz="0"/>
            </w:tcBorders>
            <w:vAlign w:val="top"/>
          </w:tcPr>
          <w:p>
            <w:r>
              <w:t xml:space="preserve">Dental oral health services/dental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MM</w:t>
            </w:r>
          </w:p>
        </w:tc>
        <w:tc>
          <w:tcPr>
            <w:tcBorders>
              <w:top w:val="none" w:color="000000" w:sz="0"/>
              <w:left w:val="none" w:color="000000" w:sz="0"/>
              <w:bottom w:val="none" w:color="000000" w:sz="0"/>
              <w:right w:val="none" w:color="000000" w:sz="0"/>
            </w:tcBorders>
            <w:vAlign w:val="top"/>
          </w:tcPr>
          <w:p>
            <w:r>
              <w:t xml:space="preserve">Oral health/dental 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Oral health/dental 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RL</w:t>
            </w:r>
          </w:p>
        </w:tc>
        <w:tc>
          <w:tcPr>
            <w:tcBorders>
              <w:top w:val="none" w:color="000000" w:sz="0"/>
              <w:left w:val="none" w:color="000000" w:sz="0"/>
              <w:bottom w:val="none" w:color="000000" w:sz="0"/>
              <w:right w:val="none" w:color="000000" w:sz="0"/>
            </w:tcBorders>
            <w:vAlign w:val="top"/>
          </w:tcPr>
          <w:p>
            <w:r>
              <w:t xml:space="preserve">Large stand-alone dialysis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w:t>
            </w:r>
          </w:p>
        </w:tc>
        <w:tc>
          <w:tcPr>
            <w:tcBorders>
              <w:top w:val="none" w:color="000000" w:sz="0"/>
              <w:left w:val="none" w:color="000000" w:sz="0"/>
              <w:bottom w:val="none" w:color="000000" w:sz="0"/>
              <w:right w:val="none" w:color="000000" w:sz="0"/>
            </w:tcBorders>
            <w:vAlign w:val="top"/>
          </w:tcPr>
          <w:p>
            <w:r>
              <w:t xml:space="preserve">Small stand-alone dialysis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w:t>
            </w:r>
            <w:r>
              <w:br/>
            </w:r>
            <w:r>
              <w:t xml:space="preserve"> </w:t>
            </w:r>
          </w:p>
        </w:tc>
        <w:tc>
          <w:tcPr>
            <w:tcBorders>
              <w:top w:val="none" w:color="000000" w:sz="0"/>
              <w:left w:val="none" w:color="000000" w:sz="0"/>
              <w:bottom w:val="none" w:color="000000" w:sz="0"/>
              <w:right w:val="none" w:color="000000" w:sz="0"/>
            </w:tcBorders>
            <w:vAlign w:val="top"/>
          </w:tcPr>
          <w:p>
            <w:r>
              <w:t xml:space="preserve">Not supplied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A1     Principal referral and specialist women’s and children’s hospitals </w:t>
            </w:r>
            <w:r>
              <w:br/>
            </w:r>
            <w:r>
              <w:rPr>
                <w:rStyle w:val="row-content-rich-text"/>
              </w:rPr>
              <w:t xml:space="preserve">To be used for major cities hospitals with &gt; 20,000 acute casemix-adjusted separations, and regional hospitals with &gt; 16,000 acute casemix-adjusted separations per annum.</w:t>
            </w:r>
          </w:p>
          <w:p>
            <w:pPr>
              <w:spacing w:after="160"/>
            </w:pPr>
            <w:r>
              <w:rPr>
                <w:rStyle w:val="row-content-rich-text"/>
              </w:rPr>
              <w:t xml:space="preserve">CODE A2     Principal referral and specialist women’s and children’s hospitals</w:t>
            </w:r>
            <w:r>
              <w:br/>
            </w:r>
            <w:r>
              <w:rPr>
                <w:rStyle w:val="row-content-rich-text"/>
              </w:rPr>
              <w:t xml:space="preserve">To be used for specialised acute women’s and children’s hospitals with &gt; 10,000 and ≤ 20,000 acute casemix-adjusted separations per annum.</w:t>
            </w:r>
          </w:p>
          <w:p>
            <w:pPr>
              <w:spacing w:after="160"/>
            </w:pPr>
            <w:r>
              <w:rPr>
                <w:rStyle w:val="row-content-rich-text"/>
              </w:rPr>
              <w:t xml:space="preserve">CODE B1     Large hospitals</w:t>
            </w:r>
            <w:r>
              <w:br/>
            </w:r>
            <w:r>
              <w:rPr>
                <w:rStyle w:val="row-content-rich-text"/>
              </w:rPr>
              <w:t xml:space="preserve">To be used for major cities acute hospitals treating &gt; 10,000 acute casemix-adjusted separations per annum.</w:t>
            </w:r>
          </w:p>
          <w:p>
            <w:pPr>
              <w:spacing w:after="160"/>
            </w:pPr>
            <w:r>
              <w:rPr>
                <w:rStyle w:val="row-content-rich-text"/>
              </w:rPr>
              <w:t xml:space="preserve">CODE B2     Large hospitals</w:t>
            </w:r>
            <w:r>
              <w:br/>
            </w:r>
            <w:r>
              <w:rPr>
                <w:rStyle w:val="row-content-rich-text"/>
              </w:rPr>
              <w:t xml:space="preserve">To be used for regional acute hospitals treating &gt; 8,000 acute casemix-adjusted separations per annum, and remote hospitals with &gt; 5,000 casemix-adjusted separations.</w:t>
            </w:r>
          </w:p>
          <w:p>
            <w:pPr>
              <w:spacing w:after="160"/>
            </w:pPr>
            <w:r>
              <w:rPr>
                <w:rStyle w:val="row-content-rich-text"/>
              </w:rPr>
              <w:t xml:space="preserve">CODE C1    Medium hospitals</w:t>
            </w:r>
            <w:r>
              <w:br/>
            </w:r>
            <w:r>
              <w:rPr>
                <w:rStyle w:val="row-content-rich-text"/>
              </w:rPr>
              <w:t xml:space="preserve">To be used for medium acute hospitals in regional and major cities areas treating &gt; 5,000 and &lt; 10,000 acute casemix-adjusted separations per annum.</w:t>
            </w:r>
          </w:p>
          <w:p>
            <w:pPr>
              <w:spacing w:after="160"/>
            </w:pPr>
            <w:r>
              <w:rPr>
                <w:rStyle w:val="row-content-rich-text"/>
              </w:rPr>
              <w:t xml:space="preserve">CODE C2    Medium hospitals</w:t>
            </w:r>
            <w:r>
              <w:br/>
            </w:r>
            <w:r>
              <w:rPr>
                <w:rStyle w:val="row-content-rich-text"/>
              </w:rPr>
              <w:t xml:space="preserve">To be used for medium acute hospitals in regional and major cities areas treating ≥ 2,000 and ≤ 5,000 acute casemix-adjusted separations per annum, and acute hospitals treating &lt; 2,000 casemix-adjusted separations per annum but with &gt; 2,000 separations per annum.</w:t>
            </w:r>
          </w:p>
          <w:p>
            <w:pPr>
              <w:spacing w:after="160"/>
            </w:pPr>
            <w:r>
              <w:rPr>
                <w:rStyle w:val="row-content-rich-text"/>
              </w:rPr>
              <w:t xml:space="preserve">CODE D1     Small acute hospitals</w:t>
            </w:r>
            <w:r>
              <w:br/>
            </w:r>
            <w:r>
              <w:rPr>
                <w:rStyle w:val="row-content-rich-text"/>
              </w:rPr>
              <w:t xml:space="preserve">To be used for small Regional acute hospitals (mainly small country town hospitals), acute hospitals treating &lt; 2,000 separations per annum, and with &lt; 40% non-acute and outlier patient days of total patient days.</w:t>
            </w:r>
          </w:p>
          <w:p>
            <w:pPr>
              <w:spacing w:after="160"/>
            </w:pPr>
            <w:r>
              <w:rPr>
                <w:rStyle w:val="row-content-rich-text"/>
              </w:rPr>
              <w:t xml:space="preserve">CODE D2     Subacute and non-acute hospitals</w:t>
            </w:r>
            <w:r>
              <w:br/>
            </w:r>
            <w:r>
              <w:rPr>
                <w:rStyle w:val="row-content-rich-text"/>
              </w:rPr>
              <w:t xml:space="preserve">To be used for small non-acute hospitals, treating &lt; 2,000 separations per annum, and with &gt; 40% non-acute and outlier patient days of total patient days.</w:t>
            </w:r>
          </w:p>
          <w:p>
            <w:pPr>
              <w:spacing w:after="160"/>
            </w:pPr>
            <w:r>
              <w:rPr>
                <w:rStyle w:val="row-content-rich-text"/>
              </w:rPr>
              <w:t xml:space="preserve">CODE D3     Small acute hospitals</w:t>
            </w:r>
            <w:r>
              <w:br/>
            </w:r>
            <w:r>
              <w:rPr>
                <w:rStyle w:val="row-content-rich-text"/>
              </w:rPr>
              <w:t xml:space="preserve">To be used for small Remote hospitals (&lt; 5,000 acute casemix-adjusted separations but not ‘multipurpose services’ and not ‘small non-acute’). Most are &lt; 2,000 separations.</w:t>
            </w:r>
          </w:p>
          <w:p>
            <w:pPr>
              <w:spacing w:after="160"/>
            </w:pPr>
            <w:r>
              <w:rPr>
                <w:rStyle w:val="row-content-rich-text"/>
              </w:rPr>
              <w:t xml:space="preserve">CODE E2     Subacute and non-acute hospitals</w:t>
            </w:r>
            <w:r>
              <w:br/>
            </w:r>
            <w:r>
              <w:rPr>
                <w:rStyle w:val="row-content-rich-text"/>
              </w:rPr>
              <w:t xml:space="preserve">To be used for multipurpose services.</w:t>
            </w:r>
          </w:p>
          <w:p>
            <w:pPr>
              <w:spacing w:after="160"/>
            </w:pPr>
            <w:r>
              <w:rPr>
                <w:rStyle w:val="row-content-rich-text"/>
              </w:rPr>
              <w:t xml:space="preserve">CODE E3     Subacute and non-acute hospitals</w:t>
            </w:r>
            <w:r>
              <w:br/>
            </w:r>
            <w:r>
              <w:rPr>
                <w:rStyle w:val="row-content-rich-text"/>
              </w:rPr>
              <w:t xml:space="preserve">To be used for hospices.</w:t>
            </w:r>
          </w:p>
          <w:p>
            <w:pPr>
              <w:spacing w:after="160"/>
            </w:pPr>
            <w:r>
              <w:rPr>
                <w:rStyle w:val="row-content-rich-text"/>
              </w:rPr>
              <w:t xml:space="preserve">CODE E4     Subacute and non-acute hospitals</w:t>
            </w:r>
            <w:r>
              <w:br/>
            </w:r>
            <w:r>
              <w:rPr>
                <w:rStyle w:val="row-content-rich-text"/>
              </w:rPr>
              <w:t xml:space="preserve">To be used for rehabilitation services.</w:t>
            </w:r>
          </w:p>
          <w:p>
            <w:pPr>
              <w:spacing w:after="160"/>
            </w:pPr>
            <w:r>
              <w:rPr>
                <w:rStyle w:val="row-content-rich-text"/>
              </w:rPr>
              <w:t xml:space="preserve">CODE E5     Subacute and non-acute hospitals</w:t>
            </w:r>
            <w:r>
              <w:br/>
            </w:r>
            <w:r>
              <w:rPr>
                <w:rStyle w:val="row-content-rich-text"/>
              </w:rPr>
              <w:t xml:space="preserve">To be used for mothercraft services.</w:t>
            </w:r>
          </w:p>
          <w:p>
            <w:pPr>
              <w:spacing w:after="160"/>
            </w:pPr>
            <w:r>
              <w:rPr>
                <w:rStyle w:val="row-content-rich-text"/>
              </w:rPr>
              <w:t xml:space="preserve">CODE E9     Subacute and non-acute hospitals</w:t>
            </w:r>
            <w:r>
              <w:br/>
            </w:r>
            <w:r>
              <w:rPr>
                <w:rStyle w:val="row-content-rich-text"/>
              </w:rPr>
              <w:t xml:space="preserve">To be used for other non-acute services. For example, geriatric treatment centres combining rehabilitation and palliative care, with a small number of acute patients.</w:t>
            </w:r>
          </w:p>
          <w:p>
            <w:pPr>
              <w:spacing w:after="160"/>
            </w:pPr>
            <w:r>
              <w:rPr>
                <w:rStyle w:val="row-content-rich-text"/>
              </w:rPr>
              <w:t xml:space="preserve">CODE G     Unpeered and other hospitals</w:t>
            </w:r>
            <w:r>
              <w:br/>
            </w:r>
            <w:r>
              <w:rPr>
                <w:rStyle w:val="row-content-rich-text"/>
              </w:rPr>
              <w:t xml:space="preserve">To be used for prison medical services, dental hospitals, special circumstance hospitals, major cities hospitals with &lt; 2,000 acute casemix-adjusted separations, hospitals with &lt; 200 separations, and so on.</w:t>
            </w:r>
          </w:p>
          <w:p>
            <w:pPr>
              <w:spacing w:after="160"/>
            </w:pPr>
            <w:r>
              <w:rPr>
                <w:rStyle w:val="row-content-rich-text"/>
              </w:rPr>
              <w:t xml:space="preserve">CODE F     Psychiatric hospitals</w:t>
            </w:r>
            <w:r>
              <w:br/>
            </w:r>
            <w:r>
              <w:rPr>
                <w:rStyle w:val="row-content-rich-text"/>
              </w:rPr>
              <w:t xml:space="preserve">To be used for psychiatric hospitals.</w:t>
            </w:r>
          </w:p>
          <w:p>
            <w:pPr>
              <w:spacing w:after="160"/>
            </w:pPr>
            <w:r>
              <w:rPr>
                <w:rStyle w:val="row-content-rich-text"/>
              </w:rPr>
              <w:t xml:space="preserve">CODE DL     Large stand-alone day facilities</w:t>
            </w:r>
            <w:r>
              <w:br/>
            </w:r>
            <w:r>
              <w:rPr>
                <w:rStyle w:val="row-content-rich-text"/>
              </w:rPr>
              <w:t xml:space="preserve">To be used for large stand-alone day facilities performing &gt; 5,000 procedures per annum.</w:t>
            </w:r>
            <w:r>
              <w:br/>
            </w:r>
            <w:r>
              <w:br/>
            </w:r>
            <w:r>
              <w:rPr>
                <w:rStyle w:val="row-content-rich-text"/>
              </w:rPr>
              <w:t xml:space="preserve">CODE DM     Medium stand-alone day facilities</w:t>
            </w:r>
            <w:r>
              <w:br/>
            </w:r>
            <w:r>
              <w:rPr>
                <w:rStyle w:val="row-content-rich-text"/>
              </w:rPr>
              <w:t xml:space="preserve">To be used for medium stand-alone day facilities performing &gt; 2,000 and &lt; 5,000 procedures per annum.</w:t>
            </w:r>
          </w:p>
          <w:p>
            <w:pPr>
              <w:spacing w:after="160"/>
            </w:pPr>
            <w:r>
              <w:rPr>
                <w:rStyle w:val="row-content-rich-text"/>
              </w:rPr>
              <w:t xml:space="preserve">CODE ML     Dental oral health services/dental hospitals</w:t>
            </w:r>
            <w:r>
              <w:br/>
            </w:r>
            <w:r>
              <w:rPr>
                <w:rStyle w:val="row-content-rich-text"/>
              </w:rPr>
              <w:t xml:space="preserve">To be used for any dental oral health services/dental hospitals with &gt; 10 dental chairs/surgeries in one or more locations.</w:t>
            </w:r>
          </w:p>
          <w:p>
            <w:pPr>
              <w:spacing w:after="160"/>
            </w:pPr>
            <w:r>
              <w:rPr>
                <w:rStyle w:val="row-content-rich-text"/>
              </w:rPr>
              <w:t xml:space="preserve">CODE MM     Oral health/dental practices</w:t>
            </w:r>
            <w:r>
              <w:br/>
            </w:r>
            <w:r>
              <w:rPr>
                <w:rStyle w:val="row-content-rich-text"/>
              </w:rPr>
              <w:t xml:space="preserve">To be used for oral health/dental practices with ≥ 6 and ≤ 10 dental chairs/surgeries in one or more locations.</w:t>
            </w:r>
          </w:p>
          <w:p>
            <w:pPr>
              <w:spacing w:after="160"/>
            </w:pPr>
            <w:r>
              <w:rPr>
                <w:rStyle w:val="row-content-rich-text"/>
              </w:rPr>
              <w:t xml:space="preserve">CODE MS     Oral health/dental practices</w:t>
            </w:r>
            <w:r>
              <w:br/>
            </w:r>
            <w:r>
              <w:rPr>
                <w:rStyle w:val="row-content-rich-text"/>
              </w:rPr>
              <w:t xml:space="preserve">To be used for oral Health/dental practices with a total of ≥ 2 and ≤ 5 dental chairs/surgeries in one or more locations.</w:t>
            </w:r>
          </w:p>
          <w:p>
            <w:pPr>
              <w:spacing w:after="160"/>
            </w:pPr>
            <w:r>
              <w:rPr>
                <w:rStyle w:val="row-content-rich-text"/>
              </w:rPr>
              <w:t xml:space="preserve">CODE RL     Large stand-alone dialysis facilities</w:t>
            </w:r>
            <w:r>
              <w:br/>
            </w:r>
            <w:r>
              <w:rPr>
                <w:rStyle w:val="row-content-rich-text"/>
              </w:rPr>
              <w:t xml:space="preserve">To be used for stand-alone dialysis facilities performing &gt; 5,000 procedures per annum.</w:t>
            </w:r>
          </w:p>
          <w:p>
            <w:pPr>
              <w:spacing w:after="160"/>
            </w:pPr>
            <w:r>
              <w:rPr>
                <w:rStyle w:val="row-content-rich-text"/>
              </w:rPr>
              <w:t xml:space="preserve">CODE RS     Small stand-alone dialysis facilities</w:t>
            </w:r>
            <w:r>
              <w:br/>
            </w:r>
            <w:r>
              <w:rPr>
                <w:rStyle w:val="row-content-rich-text"/>
              </w:rPr>
              <w:t xml:space="preserve">To be used for stand-alone dialysis facilities performing &lt; 5,000 procedures per annum.</w:t>
            </w:r>
          </w:p>
          <w:p>
            <w:pPr/>
            <w:r>
              <w:rPr>
                <w:rStyle w:val="row-content-rich-text"/>
              </w:rPr>
              <w:t xml:space="preserve">CODE NA     Not supplied</w:t>
            </w:r>
            <w:r>
              <w:br/>
            </w:r>
            <w:r>
              <w:rPr>
                <w:rStyle w:val="row-content-rich-text"/>
              </w:rPr>
              <w:t xml:space="preserve">To be used when the peer group is not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92353cc20bb44ac0">
              <w:r>
                <w:rPr>
                  <w:rStyle w:val="Hyperlink"/>
                </w:rPr>
                <w:t xml:space="preserve">Australian hospital peer groups</w:t>
              </w:r>
            </w:hyperlink>
            <w:r>
              <w:rPr>
                <w:rStyle w:val="row-content-rich-text"/>
              </w:rPr>
              <w:t xml:space="preserve">. Health services series no. 66. Cat. no. HSE 170.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w:t>
            </w:r>
            <w:hyperlink w:history="true" r:id="Rc0c418a233734fcf">
              <w:r>
                <w:rPr>
                  <w:rStyle w:val="Hyperlink"/>
                </w:rPr>
                <w:t xml:space="preserve">Data definitions for auditing | Australian Commission on Safety and Quality in Health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91ed540da54c406e">
              <w:r>
                <w:rPr>
                  <w:rStyle w:val="Hyperlink"/>
                </w:rPr>
                <w:t xml:space="preserve">Australian hospital peer groups</w:t>
              </w:r>
            </w:hyperlink>
            <w:r>
              <w:rPr>
                <w:rStyle w:val="row-content-rich-text"/>
              </w:rPr>
              <w:t xml:space="preserve">. Health services series no. 66. Cat. no. HSE 170.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bdc1ccba8f4051">
              <w:r>
                <w:rPr>
                  <w:rStyle w:val="Hyperlink"/>
                </w:rPr>
                <w:t xml:space="preserve">Establishment—peer group, health code NN</w:t>
              </w:r>
            </w:hyperlink>
          </w:p>
          <w:p>
            <w:pPr>
              <w:spacing w:before="0" w:after="0"/>
            </w:pPr>
            <w:r>
              <w:rPr>
                <w:rStyle w:val="row-content"/>
                <w:color w:val="244061"/>
              </w:rPr>
              <w:t xml:space="preserve">       </w:t>
            </w:r>
            <w:hyperlink w:history="true" r:id="Rba921d8764294293">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c826ef7f9d45c3">
              <w:r>
                <w:rPr>
                  <w:rStyle w:val="Hyperlink"/>
                </w:rPr>
                <w:t xml:space="preserve">Hand hygiene NBEDS 2012–</w:t>
              </w:r>
            </w:hyperlink>
          </w:p>
          <w:p>
            <w:pPr>
              <w:spacing w:before="0" w:after="0"/>
            </w:pPr>
            <w:r>
              <w:rPr>
                <w:rStyle w:val="row-content"/>
                <w:color w:val="244061"/>
              </w:rPr>
              <w:t xml:space="preserve">       </w:t>
            </w:r>
            <w:hyperlink w:history="true" r:id="R3d46ace1fa964d55">
              <w:r>
                <w:rPr>
                  <w:rStyle w:val="Hyperlink"/>
                  <w:color w:val="244061"/>
                </w:rPr>
                <w:t xml:space="preserve">Health</w:t>
              </w:r>
            </w:hyperlink>
            <w:r>
              <w:rPr>
                <w:rStyle w:val="row-content"/>
                <w:color w:val="244061"/>
              </w:rPr>
              <w:t xml:space="preserve">, Standard 06/09/2023</w:t>
            </w:r>
          </w:p>
          <w:p>
            <w:r>
              <w:rPr>
                <w:rStyle w:val="row-content"/>
                <w:b/>
                <w:i/>
              </w:rPr>
              <w:t xml:space="preserve">Implementation start date: </w:t>
            </w:r>
            <w:r>
              <w:rPr>
                <w:rStyle w:val="row-content"/>
              </w:rPr>
              <w:t xml:space="preserve">01/11/2012</w:t>
            </w:r>
            <w:r>
              <w:br/>
            </w:r>
            <w:r>
              <w:rPr>
                <w:rStyle w:val="row-content"/>
                <w:b/>
                <w:i/>
              </w:rPr>
              <w:t xml:space="preserve">Conditional obligation: </w:t>
            </w:r>
          </w:p>
          <w:p>
            <w:r>
              <w:rPr>
                <w:rStyle w:val="row-content"/>
              </w:rPr>
              <w:t xml:space="preserve">Conditional on the pre-2015 list of peer groups being reported.</w:t>
            </w:r>
          </w:p>
          <w:p>
            <w:r>
              <w:br/>
            </w:r>
            <w:r>
              <w:br/>
            </w:r>
            <w:hyperlink w:history="true" r:id="R1289860a2d7346df">
              <w:r>
                <w:rPr>
                  <w:rStyle w:val="Hyperlink"/>
                </w:rPr>
                <w:t xml:space="preserve">Hand hygiene NBEDS 2023–</w:t>
              </w:r>
            </w:hyperlink>
          </w:p>
          <w:p>
            <w:pPr>
              <w:spacing w:before="0" w:after="0"/>
            </w:pPr>
            <w:r>
              <w:rPr>
                <w:rStyle w:val="row-content"/>
                <w:color w:val="244061"/>
              </w:rPr>
              <w:t xml:space="preserve">       </w:t>
            </w:r>
            <w:hyperlink w:history="true" r:id="Rcd96545783cb4d48">
              <w:r>
                <w:rPr>
                  <w:rStyle w:val="Hyperlink"/>
                  <w:color w:val="244061"/>
                </w:rPr>
                <w:t xml:space="preserve">Health</w:t>
              </w:r>
            </w:hyperlink>
            <w:r>
              <w:rPr>
                <w:rStyle w:val="row-content"/>
                <w:color w:val="244061"/>
              </w:rPr>
              <w:t xml:space="preserve">, Qualified 29/02/2024</w:t>
            </w:r>
          </w:p>
          <w:p>
            <w:r>
              <w:rPr>
                <w:rStyle w:val="row-content"/>
                <w:b/>
                <w:i/>
              </w:rPr>
              <w:t xml:space="preserve">Implementation start date: </w:t>
            </w:r>
            <w:r>
              <w:rPr>
                <w:rStyle w:val="row-content"/>
              </w:rPr>
              <w:t xml:space="preserve">01/04/2023</w:t>
            </w:r>
            <w:r>
              <w:br/>
            </w:r>
            <w:r>
              <w:rPr>
                <w:rStyle w:val="row-content"/>
                <w:b/>
                <w:i/>
              </w:rPr>
              <w:t xml:space="preserve">Conditional obligation: </w:t>
            </w:r>
          </w:p>
          <w:p>
            <w:r>
              <w:rPr>
                <w:rStyle w:val="row-content"/>
              </w:rPr>
              <w:t xml:space="preserve">Conditional on the pre-2015 list of peer groups being reported.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bf56d144eb347e0">
              <w:r>
                <w:rPr>
                  <w:rStyle w:val="Hyperlink"/>
                </w:rPr>
                <w:t xml:space="preserve">National Hand Hygiene Initiative compliance rate, 2012–</w:t>
              </w:r>
            </w:hyperlink>
          </w:p>
          <w:p>
            <w:pPr>
              <w:spacing w:before="0" w:after="0"/>
            </w:pPr>
            <w:r>
              <w:rPr>
                <w:rStyle w:val="row-content"/>
                <w:color w:val="244061"/>
              </w:rPr>
              <w:t xml:space="preserve">       </w:t>
            </w:r>
            <w:hyperlink w:history="true" r:id="R62c7bbc3301a4735">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79eb0f922221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769360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98e63fa8c4e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b0f922221400c" /><Relationship Type="http://schemas.openxmlformats.org/officeDocument/2006/relationships/header" Target="/word/header1.xml" Id="R7b6e1cfa3c884b37" /><Relationship Type="http://schemas.openxmlformats.org/officeDocument/2006/relationships/settings" Target="/word/settings.xml" Id="R88ca21a7ab2f477f" /><Relationship Type="http://schemas.openxmlformats.org/officeDocument/2006/relationships/styles" Target="/word/styles.xml" Id="Rb159ae95305c4d10" /><Relationship Type="http://schemas.openxmlformats.org/officeDocument/2006/relationships/hyperlink" Target="https://meteor.aihw.gov.au/RegistrationAuthority/12" TargetMode="External" Id="R2aa908e91f4d4b68" /><Relationship Type="http://schemas.openxmlformats.org/officeDocument/2006/relationships/hyperlink" Target="https://meteor.aihw.gov.au/content/769358" TargetMode="External" Id="R0b822bb8cade44c6" /><Relationship Type="http://schemas.openxmlformats.org/officeDocument/2006/relationships/hyperlink" Target="https://meteor.aihw.gov.au/content/769353" TargetMode="External" Id="R43758a338f704428" /><Relationship Type="http://schemas.openxmlformats.org/officeDocument/2006/relationships/hyperlink" Target="https://www.aihw.gov.au/reports/hospitals/australian-hospital-peer-groups/summary" TargetMode="External" Id="R92353cc20bb44ac0" /><Relationship Type="http://schemas.openxmlformats.org/officeDocument/2006/relationships/hyperlink" Target="https://www.safetyandquality.gov.au/our-work/infection-prevention-and-control/national-hand-hygiene-initiative-nhhi/national-audits/data-definitions-auditing#-strong-nbsp-public-peer-group-categories-pre-2015-strong%3E" TargetMode="External" Id="Rc0c418a233734fcf" /><Relationship Type="http://schemas.openxmlformats.org/officeDocument/2006/relationships/hyperlink" Target="https://www.aihw.gov.au/reports/hospitals/australian-hospital-peer-groups/summary" TargetMode="External" Id="R91ed540da54c406e" /><Relationship Type="http://schemas.openxmlformats.org/officeDocument/2006/relationships/hyperlink" Target="https://meteor.aihw.gov.au/content/770057" TargetMode="External" Id="R2dbdc1ccba8f4051" /><Relationship Type="http://schemas.openxmlformats.org/officeDocument/2006/relationships/hyperlink" Target="https://meteor.aihw.gov.au/RegistrationAuthority/12" TargetMode="External" Id="Rba921d8764294293" /><Relationship Type="http://schemas.openxmlformats.org/officeDocument/2006/relationships/hyperlink" Target="https://meteor.aihw.gov.au/content/768683" TargetMode="External" Id="R17c826ef7f9d45c3" /><Relationship Type="http://schemas.openxmlformats.org/officeDocument/2006/relationships/hyperlink" Target="https://meteor.aihw.gov.au/RegistrationAuthority/12" TargetMode="External" Id="R3d46ace1fa964d55" /><Relationship Type="http://schemas.openxmlformats.org/officeDocument/2006/relationships/hyperlink" Target="https://meteor.aihw.gov.au/content/789327" TargetMode="External" Id="R1289860a2d7346df" /><Relationship Type="http://schemas.openxmlformats.org/officeDocument/2006/relationships/hyperlink" Target="https://meteor.aihw.gov.au/RegistrationAuthority/12" TargetMode="External" Id="Rcd96545783cb4d48" /><Relationship Type="http://schemas.openxmlformats.org/officeDocument/2006/relationships/hyperlink" Target="https://meteor.aihw.gov.au/content/727746" TargetMode="External" Id="R7bf56d144eb347e0" /><Relationship Type="http://schemas.openxmlformats.org/officeDocument/2006/relationships/hyperlink" Target="https://meteor.aihw.gov.au/RegistrationAuthority/12" TargetMode="External" Id="R62c7bbc3301a4735" /></Relationships>
</file>

<file path=word/_rels/header1.xml.rels>&#65279;<?xml version="1.0" encoding="utf-8"?><Relationships xmlns="http://schemas.openxmlformats.org/package/2006/relationships"><Relationship Type="http://schemas.openxmlformats.org/officeDocument/2006/relationships/image" Target="/media/image.png" Id="R01198e63fa8c4e94" /></Relationships>
</file>