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02bb08e9134cba" /></Relationships>
</file>

<file path=word/document.xml><?xml version="1.0" encoding="utf-8"?>
<w:document xmlns:r="http://schemas.openxmlformats.org/officeDocument/2006/relationships" xmlns:w="http://schemas.openxmlformats.org/wordprocessingml/2006/main">
  <w:body>
    <w:p>
      <w:pPr>
        <w:pStyle w:val="Title"/>
      </w:pPr>
      <w:r>
        <w:t>Prisoner health medication type dispensed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medication type dispensed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52d21e3d949e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medication type dispensed cluster comprises three data elements that describe the type of medication dispensed to a person. It is based on the Repeat Medications Form.</w:t>
            </w:r>
          </w:p>
          <w:p>
            <w:pPr>
              <w:spacing w:after="160"/>
            </w:pPr>
            <w:r>
              <w:rPr>
                <w:rStyle w:val="row-content-rich-text"/>
              </w:rPr>
              <w:t xml:space="preserve">This is achieved by the combination of the three data elements: </w:t>
            </w:r>
            <w:hyperlink w:history="true" r:id="R98ee60735a924cf7">
              <w:r>
                <w:rPr>
                  <w:rStyle w:val="Hyperlink"/>
                </w:rPr>
                <w:t xml:space="preserve">Person—medication type, medication type (ATC/DDD) code A[{NN}AA{NN}]</w:t>
              </w:r>
            </w:hyperlink>
            <w:r>
              <w:rPr>
                <w:rStyle w:val="row-content-rich-text"/>
              </w:rPr>
              <w:t xml:space="preserve">, </w:t>
            </w:r>
            <w:hyperlink w:history="true" r:id="Rb5302ce7d35d4f6d">
              <w:r>
                <w:rPr>
                  <w:rStyle w:val="Hyperlink"/>
                </w:rPr>
                <w:t xml:space="preserve">Person—medication type, text [X(40)] </w:t>
              </w:r>
            </w:hyperlink>
            <w:r>
              <w:rPr>
                <w:rStyle w:val="row-content-rich-text"/>
              </w:rPr>
              <w:t xml:space="preserve">and </w:t>
            </w:r>
            <w:hyperlink w:history="true" r:id="R699bd5562c3040e9">
              <w:r>
                <w:rPr>
                  <w:rStyle w:val="Hyperlink"/>
                </w:rPr>
                <w:t xml:space="preserve">Person—reason medication dispensed, prisoner health code N</w:t>
              </w:r>
            </w:hyperlink>
            <w:r>
              <w:rPr>
                <w:rStyle w:val="row-content-rich-text"/>
              </w:rPr>
              <w:t xml:space="preserve">. </w:t>
            </w:r>
          </w:p>
          <w:p>
            <w:pPr>
              <w:spacing w:after="160"/>
            </w:pPr>
            <w:r>
              <w:rPr>
                <w:rStyle w:val="row-content-rich-text"/>
              </w:rPr>
              <w:t xml:space="preserve">The cluster describes the following information recorded for a person, relating to the type of medications dispensed, and the reason they were dispensed: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p>
              </w:tc>
              <w:tc>
                <w:tcPr>
                  <w:tcW w:w="700" w:type="pct"/>
                  <w:vAlign w:val="top"/>
                </w:tcPr>
                <w:p>
                  <w:r>
                    <w:rPr>
                      <w:b/>
                    </w:rPr>
                    <w:t xml:space="preserve">Dispensed</w:t>
                  </w:r>
                </w:p>
              </w:tc>
              <w:tc>
                <w:tcPr>
                  <w:tcW w:w="1750" w:type="pct"/>
                  <w:vAlign w:val="top"/>
                </w:tcPr>
                <w:p>
                  <w:r>
                    <w:rPr>
                      <w:b/>
                    </w:rPr>
                    <w:t xml:space="preserve">Dispensed primarily for mental or behavioural conditions</w:t>
                  </w:r>
                </w:p>
              </w:tc>
            </w:tr>
            <w:tr>
              <w:trPr/>
              <w:tc>
                <w:tcPr>
                  <w:tcW w:w="2500" w:type="pct"/>
                  <w:vAlign w:val="top"/>
                </w:tcPr>
                <w:p>
                  <w:r>
                    <w:t xml:space="preserve">Antidepressants/mood stabilisers (e.g., Sertraline (Zoloft), Fluoxetine (Prozac, Lovan), Paroxetine (Aropax), Citalopram (Cipramil), Amitriptyline (Endep).)</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Antipsychotics (e.g., Amisulpride (Solian), Clozapine (Clozaril, Clopine), Olanzapine (Zyprexa), Quetiapine (Seroquel), Risperidone (Risperidal), Prochlorperazine (Stemetil, Stemzine))</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Analgesics (e.g., Paracetamol (Panadol), Codeine (Panadeine), Oxycodone (OxyContin, Endone), Tramadol (Tramahexal, Zydol))</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Anti-inflammatories, anti-rheumatic agents (e.g., Ibuprofen (Nurofen), Meloxicam (Mobic), Diclofenac (Voltaren), Aspirin, Glucosamine)</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Drugs used in acid-related disorders, antimetics and anti-nauseants, laxatives, antidiarrhoreals (e.g., Omeprazole (Nexium, Probitor))</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Anti-hypertensives, beta blocking agents (e.g., Perindopril (Conversyl, Indopril, Perindo), Irbesartan (Avapro, Karvea, Karvezide), Atenolol (Tenormin), Ramipril (Prilace, Triasyn, Tryzan), Amlodipine (Norvasc))</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Cholesterol lowering drugs (lipid modifying agents) (e.g., Atorvastatin (Lipitor, Caduet), Simvastatin (Lipex, Zocor))</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Asthma relievers, preventers, symptom controllers (drugs for obstructed airway diseases) (e.g., Salbutamol (Ventolin, Butamol, Rotahaler), Salmeterol (Seretide, Serevent), Symbicort, Fluticasone (Beconase, Flixotide), Intal Forte, Singulair, Prednisolone)</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Drugs used in opioid dependence (e.g., Methadone, Suboxone, Naltrexone)</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Antibiotics (e.g., Amoxycillin (Amoxil, Augmentin), Cephalexin (Keflex), Roxithromycin (Rulide, Roximycin), Doxycycline (Vibramycin))</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Hepatitis, antivirals for HIV, infectious diseases (e.g., Pegasys, Stocrin, Truvada)</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Drugs used in diabetes (e.g., Metformin (Glucophage, Avandamet, Diabex, Diaformin, Formet, Glucovance))</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Vitamins and mineral supplements</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Anti-anxiety (anxiolytics) (e.g., Diazepam (Valium))</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Hypnotics and sedatives</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Anti-epileptics, anti-Parkinson drugs</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Antihistamines (e.g., Loratadine (Claratyne, Allereze), Fexofenadine (Fexal, Telfast))</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Dermatologicals (skin, including antifungals)</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Drugs used in nicotine dependence</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Drugs used in benign prostatic hypertrophy (prostate) (e.g., Flomaxtra)</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Diuretics</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Thyroid therapy</w:t>
                  </w:r>
                </w:p>
              </w:tc>
              <w:tc>
                <w:tcPr>
                  <w:tcW w:w="700" w:type="pct"/>
                  <w:vAlign w:val="top"/>
                </w:tcPr>
                <w:p>
                  <w:r>
                    <w:t xml:space="preserve"> </w:t>
                  </w:r>
                </w:p>
              </w:tc>
              <w:tc>
                <w:tcPr>
                  <w:tcW w:w="1750" w:type="pct"/>
                  <w:vAlign w:val="top"/>
                </w:tcPr>
                <w:p>
                  <w:r>
                    <w:t xml:space="preserve"> </w:t>
                  </w:r>
                </w:p>
              </w:tc>
            </w:tr>
            <w:tr>
              <w:trPr/>
              <w:tc>
                <w:tcPr>
                  <w:tcW w:w="2500" w:type="pct"/>
                  <w:vAlign w:val="top"/>
                </w:tcPr>
                <w:p>
                  <w:r>
                    <w:t xml:space="preserve">Other (please specify)</w:t>
                  </w:r>
                </w:p>
              </w:tc>
              <w:tc>
                <w:tcPr>
                  <w:tcW w:w="700" w:type="pct"/>
                  <w:vAlign w:val="top"/>
                </w:tcPr>
                <w:p>
                  <w:r>
                    <w:t xml:space="preserve"> </w:t>
                  </w:r>
                </w:p>
              </w:tc>
              <w:tc>
                <w:tcPr>
                  <w:tcW w:w="175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for medication repeats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22fc40039649c9">
              <w:r>
                <w:rPr>
                  <w:rStyle w:val="Hyperlink"/>
                </w:rPr>
                <w:t xml:space="preserve">Prisoners in custody prescription medications NBEDS 2022</w:t>
              </w:r>
            </w:hyperlink>
          </w:p>
          <w:p>
            <w:pPr>
              <w:spacing w:before="0" w:after="0"/>
            </w:pPr>
            <w:r>
              <w:rPr>
                <w:rStyle w:val="row-content"/>
                <w:color w:val="244061"/>
              </w:rPr>
              <w:t xml:space="preserve">       </w:t>
            </w:r>
            <w:hyperlink w:history="true" r:id="Rdfa08bc95859431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in this cluster corresponds to the following question of the Prisoners in Custody—Repeat Medications form:</w:t>
            </w:r>
          </w:p>
          <w:p>
            <w:r>
              <w:rPr>
                <w:rStyle w:val="row-content"/>
              </w:rPr>
              <w:t xml:space="preserve">7. Medication type dispensed (repeats only)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5d4207bc5e4949">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pPr>
                    <w:pStyle w:val="ListParagraph"/>
                    <w:numPr>
                      <w:ilvl w:val="0"/>
                      <w:numId w:val="2"/>
                    </w:numPr>
                  </w:pPr>
                  <w:r>
                    <w:t xml:space="preserve">Antidepressants (ATC/DDD code N06A)</w:t>
                  </w:r>
                  <w:r>
                    <w:br/>
                  </w:r>
                  <w:r>
                    <w:t xml:space="preserve">Antipsychotics (ATC/DDD code N05A)</w:t>
                  </w:r>
                  <w:r>
                    <w:br/>
                  </w:r>
                  <w:r>
                    <w:t xml:space="preserve">Anti-inflammatories and antirheumatic agents (ATC/DDD code M01)</w:t>
                  </w:r>
                </w:p>
                <w:p>
                  <w:pPr>
                    <w:pStyle w:val="ListParagraph"/>
                    <w:numPr>
                      <w:ilvl w:val="0"/>
                      <w:numId w:val="2"/>
                    </w:numPr>
                  </w:pPr>
                  <w:r>
                    <w:t xml:space="preserve">Drugs used for acid-related disorders (ATC/DDD code A02)</w:t>
                  </w:r>
                </w:p>
                <w:p>
                  <w:pPr>
                    <w:pStyle w:val="ListParagraph"/>
                    <w:numPr>
                      <w:ilvl w:val="0"/>
                      <w:numId w:val="2"/>
                    </w:numPr>
                  </w:pPr>
                  <w:r>
                    <w:t xml:space="preserve">Antiemetics and antinauseants (ATC/DDD code A04)</w:t>
                  </w:r>
                </w:p>
                <w:p>
                  <w:pPr>
                    <w:pStyle w:val="ListParagraph"/>
                    <w:numPr>
                      <w:ilvl w:val="0"/>
                      <w:numId w:val="2"/>
                    </w:numPr>
                  </w:pPr>
                  <w:r>
                    <w:t xml:space="preserve">Laxatives (ATC/DDD code A06)</w:t>
                  </w:r>
                </w:p>
                <w:p>
                  <w:pPr>
                    <w:pStyle w:val="ListParagraph"/>
                    <w:numPr>
                      <w:ilvl w:val="0"/>
                      <w:numId w:val="2"/>
                    </w:numPr>
                  </w:pPr>
                  <w:r>
                    <w:t xml:space="preserve">Antidiarrheals (ATC/DDD code A07)</w:t>
                  </w:r>
                </w:p>
                <w:p>
                  <w:pPr>
                    <w:pStyle w:val="ListParagraph"/>
                    <w:numPr>
                      <w:ilvl w:val="0"/>
                      <w:numId w:val="2"/>
                    </w:numPr>
                  </w:pPr>
                  <w:r>
                    <w:t xml:space="preserve">Antihypertensives (ATC/DDD code C02)</w:t>
                  </w:r>
                </w:p>
                <w:p>
                  <w:pPr>
                    <w:pStyle w:val="ListParagraph"/>
                    <w:numPr>
                      <w:ilvl w:val="0"/>
                      <w:numId w:val="2"/>
                    </w:numPr>
                  </w:pPr>
                  <w:r>
                    <w:t xml:space="preserve">Beta blocking agents (ATC/DDD code C07)</w:t>
                  </w:r>
                </w:p>
                <w:p>
                  <w:pPr>
                    <w:pStyle w:val="ListParagraph"/>
                    <w:numPr>
                      <w:ilvl w:val="0"/>
                      <w:numId w:val="2"/>
                    </w:numPr>
                  </w:pPr>
                  <w:r>
                    <w:t xml:space="preserve">Lipid modifying agents (ATC/DDD code C10)</w:t>
                  </w:r>
                </w:p>
                <w:p>
                  <w:pPr>
                    <w:pStyle w:val="ListParagraph"/>
                    <w:numPr>
                      <w:ilvl w:val="0"/>
                      <w:numId w:val="2"/>
                    </w:numPr>
                  </w:pPr>
                  <w:r>
                    <w:t xml:space="preserve">Drugs for obstructed airway diseases (ATC/DDD code R03)</w:t>
                  </w:r>
                </w:p>
                <w:p>
                  <w:pPr>
                    <w:pStyle w:val="ListParagraph"/>
                    <w:numPr>
                      <w:ilvl w:val="0"/>
                      <w:numId w:val="2"/>
                    </w:numPr>
                  </w:pPr>
                  <w:r>
                    <w:t xml:space="preserve">Drugs used for opioid dependence (ATC/DDD code N07BC)</w:t>
                  </w:r>
                </w:p>
                <w:p>
                  <w:pPr>
                    <w:pStyle w:val="ListParagraph"/>
                    <w:numPr>
                      <w:ilvl w:val="0"/>
                      <w:numId w:val="2"/>
                    </w:numPr>
                  </w:pPr>
                  <w:r>
                    <w:t xml:space="preserve">Antibiotics (various) (ATC/DDD code varies depending on condition being treated)</w:t>
                  </w:r>
                </w:p>
                <w:p>
                  <w:pPr>
                    <w:pStyle w:val="ListParagraph"/>
                    <w:numPr>
                      <w:ilvl w:val="0"/>
                      <w:numId w:val="2"/>
                    </w:numPr>
                  </w:pPr>
                  <w:r>
                    <w:t xml:space="preserve">Hepatitis vaccine (ATC/DDD code J07BC)</w:t>
                  </w:r>
                </w:p>
                <w:p>
                  <w:pPr>
                    <w:pStyle w:val="ListParagraph"/>
                    <w:numPr>
                      <w:ilvl w:val="0"/>
                      <w:numId w:val="2"/>
                    </w:numPr>
                  </w:pPr>
                  <w:r>
                    <w:t xml:space="preserve">Antivirals for HIV (ATC/DDD code J05AR)</w:t>
                  </w:r>
                </w:p>
                <w:p>
                  <w:pPr>
                    <w:pStyle w:val="ListParagraph"/>
                    <w:numPr>
                      <w:ilvl w:val="0"/>
                      <w:numId w:val="2"/>
                    </w:numPr>
                  </w:pPr>
                  <w:r>
                    <w:t xml:space="preserve">Drugs used for diabetes (ATC/DDD code A10)</w:t>
                  </w:r>
                </w:p>
                <w:p>
                  <w:pPr>
                    <w:pStyle w:val="ListParagraph"/>
                    <w:numPr>
                      <w:ilvl w:val="0"/>
                      <w:numId w:val="2"/>
                    </w:numPr>
                  </w:pPr>
                  <w:r>
                    <w:t xml:space="preserve">Vitamins (ATC/DDD code A11)</w:t>
                  </w:r>
                </w:p>
                <w:p>
                  <w:pPr>
                    <w:pStyle w:val="ListParagraph"/>
                    <w:numPr>
                      <w:ilvl w:val="0"/>
                      <w:numId w:val="2"/>
                    </w:numPr>
                  </w:pPr>
                  <w:r>
                    <w:t xml:space="preserve">Mineral supplements (ATC/DDD code A12)</w:t>
                  </w:r>
                </w:p>
                <w:p>
                  <w:pPr>
                    <w:pStyle w:val="ListParagraph"/>
                    <w:numPr>
                      <w:ilvl w:val="0"/>
                      <w:numId w:val="2"/>
                    </w:numPr>
                  </w:pPr>
                  <w:r>
                    <w:t xml:space="preserve">Anxiolytics (ATC/DDD code N05B)</w:t>
                  </w:r>
                </w:p>
                <w:p>
                  <w:pPr>
                    <w:pStyle w:val="ListParagraph"/>
                    <w:numPr>
                      <w:ilvl w:val="0"/>
                      <w:numId w:val="2"/>
                    </w:numPr>
                  </w:pPr>
                  <w:r>
                    <w:t xml:space="preserve">Hypnotics and sedatives (ATC/DDD code N05C)</w:t>
                  </w:r>
                </w:p>
                <w:p>
                  <w:pPr>
                    <w:pStyle w:val="ListParagraph"/>
                    <w:numPr>
                      <w:ilvl w:val="0"/>
                      <w:numId w:val="2"/>
                    </w:numPr>
                  </w:pPr>
                  <w:r>
                    <w:t xml:space="preserve">Antiepileptics (ATC/DDD code N03)</w:t>
                  </w:r>
                </w:p>
                <w:p>
                  <w:pPr>
                    <w:pStyle w:val="ListParagraph"/>
                    <w:numPr>
                      <w:ilvl w:val="0"/>
                      <w:numId w:val="2"/>
                    </w:numPr>
                  </w:pPr>
                  <w:r>
                    <w:t xml:space="preserve">Anti-parkinson drugs (ATC/DDD code N04)</w:t>
                  </w:r>
                </w:p>
                <w:p>
                  <w:pPr>
                    <w:pStyle w:val="ListParagraph"/>
                    <w:numPr>
                      <w:ilvl w:val="0"/>
                      <w:numId w:val="2"/>
                    </w:numPr>
                  </w:pPr>
                  <w:r>
                    <w:t xml:space="preserve">Antihistamines (ATC/DDD code R06)</w:t>
                  </w:r>
                </w:p>
                <w:p>
                  <w:pPr>
                    <w:pStyle w:val="ListParagraph"/>
                    <w:numPr>
                      <w:ilvl w:val="0"/>
                      <w:numId w:val="2"/>
                    </w:numPr>
                  </w:pPr>
                  <w:r>
                    <w:t xml:space="preserve">Dermatologicals (ATC/DDD code D)</w:t>
                  </w:r>
                </w:p>
                <w:p>
                  <w:pPr>
                    <w:pStyle w:val="ListParagraph"/>
                    <w:numPr>
                      <w:ilvl w:val="0"/>
                      <w:numId w:val="2"/>
                    </w:numPr>
                  </w:pPr>
                  <w:r>
                    <w:t xml:space="preserve">Drugs used for nicotine dependence (ATC/DDD code N07BA)</w:t>
                  </w:r>
                </w:p>
                <w:p>
                  <w:pPr>
                    <w:pStyle w:val="ListParagraph"/>
                    <w:numPr>
                      <w:ilvl w:val="0"/>
                      <w:numId w:val="2"/>
                    </w:numPr>
                  </w:pPr>
                  <w:r>
                    <w:t xml:space="preserve">Diuretics (ATC/DDD code C03)</w:t>
                  </w:r>
                </w:p>
                <w:p>
                  <w:pPr>
                    <w:pStyle w:val="ListParagraph"/>
                    <w:numPr>
                      <w:ilvl w:val="0"/>
                      <w:numId w:val="2"/>
                    </w:numPr>
                  </w:pPr>
                  <w:r>
                    <w:t xml:space="preserve">Thyroid therapy (ATC/DDD code H03)</w:t>
                  </w:r>
                </w:p>
                <w:p>
                  <w:pPr>
                    <w:pStyle w:val="ListParagraph"/>
                    <w:numPr>
                      <w:ilvl w:val="0"/>
                      <w:numId w:val="2"/>
                    </w:numPr>
                  </w:pPr>
                  <w:r>
                    <w:t xml:space="preserve">Drugs used for benign prostatic hypertrophy (ATC/DDD code G04C)</w:t>
                  </w:r>
                </w:p>
                <w:p>
                  <w:pPr>
                    <w:pStyle w:val="ListParagraph"/>
                    <w:numPr>
                      <w:ilvl w:val="0"/>
                      <w:numId w:val="2"/>
                    </w:numPr>
                  </w:pP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p>
                <w:p>
                  <w:pPr>
                    <w:pStyle w:val="ListParagraph"/>
                    <w:numPr>
                      <w:ilvl w:val="0"/>
                      <w:numId w:val="2"/>
                    </w:numPr>
                  </w:pPr>
                  <w:r>
                    <w:t xml:space="preserve">S4 and OTC analgesics - Standard for the Uniform Scheduling of Medicines and Poisons Schedule 4 Prescription only medicine; and Schedule 2 Pharmacy medicine including paracetamol (ATC/DDD N02BE01), codeine (N02AA59), Tramadol (N02AX02), Ibuprofen (M01A)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bf682c2b8be4a57">
                    <w:r>
                      <w:rPr>
                        <w:rStyle w:val="Hyperlink"/>
                      </w:rPr>
                      <w:t xml:space="preserve">Person—medication type, text [X(40)]</w:t>
                    </w:r>
                  </w:hyperlink>
                </w:p>
                <w:p>
                  <w:r>
                    <w:rPr>
                      <w:b/>
                      <w:i/>
                      <w:color w:val="333333"/>
                    </w:rPr>
                    <w:t xml:space="preserve">Conditional obligation:</w:t>
                  </w:r>
                </w:p>
                <w:p>
                  <w:r>
                    <w:t xml:space="preserve">Conditional on 'Other' being recorded on the Repeat Medications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e4593e7ee424265">
                    <w:r>
                      <w:rPr>
                        <w:rStyle w:val="Hyperlink"/>
                      </w:rPr>
                      <w:t xml:space="preserve">Person—reason medication dispensed,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d1145ae4cab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58efb0f10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145ae4cab4e3f" /><Relationship Type="http://schemas.openxmlformats.org/officeDocument/2006/relationships/header" Target="/word/header1.xml" Id="R9baaf02e28694fcf" /><Relationship Type="http://schemas.openxmlformats.org/officeDocument/2006/relationships/settings" Target="/word/settings.xml" Id="R545b114e47c04e62" /><Relationship Type="http://schemas.openxmlformats.org/officeDocument/2006/relationships/styles" Target="/word/styles.xml" Id="Rbe246a16d80c4e3a" /><Relationship Type="http://schemas.openxmlformats.org/officeDocument/2006/relationships/hyperlink" Target="https://meteor.aihw.gov.au/RegistrationAuthority/12" TargetMode="External" Id="Rea152d21e3d949ee" /><Relationship Type="http://schemas.openxmlformats.org/officeDocument/2006/relationships/hyperlink" Target="https://meteor.aihw.gov.au/content/365469" TargetMode="External" Id="R98ee60735a924cf7" /><Relationship Type="http://schemas.openxmlformats.org/officeDocument/2006/relationships/hyperlink" Target="https://meteor.aihw.gov.au/content/624732" TargetMode="External" Id="Rb5302ce7d35d4f6d" /><Relationship Type="http://schemas.openxmlformats.org/officeDocument/2006/relationships/hyperlink" Target="https://meteor.aihw.gov.au/content/768981" TargetMode="External" Id="R699bd5562c3040e9" /><Relationship Type="http://schemas.openxmlformats.org/officeDocument/2006/relationships/hyperlink" Target="https://meteor.aihw.gov.au/content/760426" TargetMode="External" Id="Ra722fc40039649c9" /><Relationship Type="http://schemas.openxmlformats.org/officeDocument/2006/relationships/hyperlink" Target="https://meteor.aihw.gov.au/RegistrationAuthority/12" TargetMode="External" Id="Rdfa08bc958594315" /><Relationship Type="http://schemas.openxmlformats.org/officeDocument/2006/relationships/hyperlink" Target="https://meteor.aihw.gov.au/content/365469" TargetMode="External" Id="R425d4207bc5e4949" /><Relationship Type="http://schemas.openxmlformats.org/officeDocument/2006/relationships/numbering" Target="/word/numbering.xml" Id="R4af19f61eb804c06" /><Relationship Type="http://schemas.openxmlformats.org/officeDocument/2006/relationships/hyperlink" Target="https://meteor.aihw.gov.au/content/624732" TargetMode="External" Id="Rabf682c2b8be4a57" /><Relationship Type="http://schemas.openxmlformats.org/officeDocument/2006/relationships/hyperlink" Target="https://meteor.aihw.gov.au/content/768981" TargetMode="External" Id="Rce4593e7ee424265" /></Relationships>
</file>

<file path=word/_rels/header1.xml.rels>&#65279;<?xml version="1.0" encoding="utf-8"?><Relationships xmlns="http://schemas.openxmlformats.org/package/2006/relationships"><Relationship Type="http://schemas.openxmlformats.org/officeDocument/2006/relationships/image" Target="/media/image.png" Id="R27558efb0f104dde" /></Relationships>
</file>