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51ed26e7fc84422" /></Relationships>
</file>

<file path=word/document.xml><?xml version="1.0" encoding="utf-8"?>
<w:document xmlns:r="http://schemas.openxmlformats.org/officeDocument/2006/relationships" xmlns:w="http://schemas.openxmlformats.org/wordprocessingml/2006/main">
  <w:body>
    <w:p>
      <w:pPr>
        <w:pStyle w:val="Title"/>
      </w:pPr>
      <w:r>
        <w:t>Hand hygiene NBEDS 2012–2023</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Hand hygiene NBEDS 2012–2023</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768683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4b22a52a91048ef">
              <w:r>
                <w:rPr>
                  <w:rStyle w:val="Hyperlink"/>
                  <w:color w:val="244061"/>
                </w:rPr>
                <w:t xml:space="preserve">Health</w:t>
              </w:r>
            </w:hyperlink>
            <w:r>
              <w:rPr>
                <w:rStyle w:val="row-content"/>
                <w:color w:val="244061"/>
              </w:rPr>
              <w:t xml:space="preserve">, Superseded 29/05/2024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Set Specification (DSS)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Hand hygiene national best endeavours data set (HH NBEDS) aims to support national monitoring of hand hygiene moments in public hospitals.</w:t>
            </w:r>
          </w:p>
          <w:p>
            <w:pPr>
              <w:spacing w:after="160"/>
            </w:pPr>
            <w:r>
              <w:rPr>
                <w:rStyle w:val="row-content-rich-text"/>
              </w:rPr>
              <w:t xml:space="preserve">Hand hygiene assists in preventing the spread of infections acquired as a direct or indirect result of health care.</w:t>
            </w:r>
          </w:p>
          <w:p>
            <w:pPr/>
            <w:r>
              <w:rPr>
                <w:rStyle w:val="row-content-rich-text"/>
              </w:rPr>
              <w:t xml:space="preserve">The scope for this NBEDS is all public hospitals, including those defined as public psychiatric hospitals in the Local Hospital Networks/Public hospital establishments national minimum data set. All types of public hospitals are included, focusing on acute care and non-acute or subacute care, including psychiatric, rehabilitation and palliative care.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Statistical unit:</w:t>
            </w:r>
          </w:p>
        </w:tc>
        <w:tc>
          <w:tcPr>
            <w:tcBorders>
              <w:top w:val="none" w:color="000000" w:sz="0"/>
              <w:left w:val="none" w:color="000000" w:sz="0"/>
              <w:bottom w:val="none" w:color="000000" w:sz="0"/>
              <w:right w:val="none" w:color="000000" w:sz="0"/>
            </w:tcBorders>
            <w:vAlign w:val="top"/>
          </w:tcPr>
          <w:p>
            <w:hyperlink w:history="true" r:id="R3b8f6e78d2b74751">
              <w:r>
                <w:rPr>
                  <w:rStyle w:val="Hyperlink"/>
                </w:rPr>
                <w:t xml:space="preserve">Establishment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data elements in the HH NBEDS are used to report the results of hand hygiene compliance audits conducted in healthcare establishments as part of the National Hand Hygiene Initiative (NHHI.) </w:t>
            </w:r>
          </w:p>
          <w:p>
            <w:pPr>
              <w:spacing w:after="160"/>
            </w:pPr>
            <w:r>
              <w:rPr>
                <w:rStyle w:val="row-content-rich-text"/>
              </w:rPr>
              <w:t xml:space="preserve">The Australian Commission on Safety and Quality in Health Care (ACSQHC) established the NHHI in 2008 as part of a suite of initiatives to prevent and reduce healthcare-associated infections in Australian healthcare settings. The </w:t>
            </w:r>
            <w:hyperlink w:history="true" r:id="R5114bd030d334259">
              <w:r>
                <w:rPr>
                  <w:rStyle w:val="Hyperlink"/>
                </w:rPr>
                <w:t xml:space="preserve">National Safety and Quality Health Services (NSQHS) Standards</w:t>
              </w:r>
            </w:hyperlink>
            <w:r>
              <w:rPr>
                <w:rStyle w:val="row-content-rich-text"/>
              </w:rPr>
              <w:t xml:space="preserve"> (ACSQHC 2022) require health service organisations to have a hand hygiene program consistent with the NHHI and jurisdictional requirements. The NHHI uses a multimodal approach to improving hand hygiene, which includes:</w:t>
            </w:r>
          </w:p>
          <w:p>
            <w:pPr>
              <w:pStyle w:val="ListParagraph"/>
              <w:numPr>
                <w:ilvl w:val="0"/>
                <w:numId w:val="2"/>
              </w:numPr>
            </w:pPr>
            <w:r>
              <w:rPr>
                <w:rStyle w:val="row-content-rich-text"/>
              </w:rPr>
              <w:t xml:space="preserve">The use of alcohol-based hand rub at the point-of-care</w:t>
            </w:r>
          </w:p>
          <w:p>
            <w:pPr>
              <w:pStyle w:val="ListParagraph"/>
              <w:numPr>
                <w:ilvl w:val="0"/>
                <w:numId w:val="2"/>
              </w:numPr>
            </w:pPr>
            <w:r>
              <w:rPr>
                <w:rStyle w:val="row-content-rich-text"/>
              </w:rPr>
              <w:t xml:space="preserve">Ensuring uniform hand hygiene and infection prevention and control education</w:t>
            </w:r>
          </w:p>
          <w:p>
            <w:pPr>
              <w:pStyle w:val="ListParagraph"/>
              <w:numPr>
                <w:ilvl w:val="0"/>
                <w:numId w:val="2"/>
              </w:numPr>
            </w:pPr>
            <w:r>
              <w:rPr>
                <w:rStyle w:val="row-content-rich-text"/>
              </w:rPr>
              <w:t xml:space="preserve">Monitoring hand hygiene compliance and performance feedback</w:t>
            </w:r>
          </w:p>
          <w:p>
            <w:pPr>
              <w:pStyle w:val="ListParagraph"/>
              <w:numPr>
                <w:ilvl w:val="0"/>
                <w:numId w:val="2"/>
              </w:numPr>
            </w:pPr>
            <w:r>
              <w:rPr>
                <w:rStyle w:val="row-content-rich-text"/>
              </w:rPr>
              <w:t xml:space="preserve">Using hand hygiene programs that ensure culture change.</w:t>
            </w:r>
          </w:p>
          <w:p>
            <w:pPr>
              <w:spacing w:after="160"/>
            </w:pPr>
            <w:r>
              <w:rPr>
                <w:rStyle w:val="row-content-rich-text"/>
              </w:rPr>
              <w:t xml:space="preserve">Implementation of the NHHI is led by states, territories and health service organisations (public and private).</w:t>
            </w:r>
          </w:p>
          <w:p>
            <w:pPr>
              <w:spacing w:after="160"/>
            </w:pPr>
            <w:r>
              <w:rPr>
                <w:rStyle w:val="row-content-rich-text"/>
              </w:rPr>
              <w:t xml:space="preserve">Compliance audits are undertaken to assess the number of </w:t>
            </w:r>
            <w:hyperlink w:tooltip="An occasion in a healthcare setting where there is a perceived or actual risk of pathogen transmission from one surface to another via the hands and a hand hygiene action is appropriately undertaken." w:history="true" r:id="R0dbedc209d67457b">
              <w:r>
                <w:rPr>
                  <w:rStyle w:val="Hyperlink"/>
                  <w:b/>
                </w:rPr>
                <w:t xml:space="preserve">compliant hand hygiene moments</w:t>
              </w:r>
            </w:hyperlink>
            <w:r>
              <w:rPr>
                <w:rStyle w:val="row-content-rich-text"/>
              </w:rPr>
              <w:t xml:space="preserve"> observed in relation to the total number of </w:t>
            </w:r>
            <w:hyperlink w:tooltip="An occasion in a healthcare setting where there is a perceived or actual risk of pathogen transmission from one surface to another via the hands." w:history="true" r:id="R489f3c16aa324670">
              <w:r>
                <w:rPr>
                  <w:rStyle w:val="Hyperlink"/>
                  <w:b/>
                </w:rPr>
                <w:t xml:space="preserve">hand hygiene moments</w:t>
              </w:r>
            </w:hyperlink>
          </w:p>
          <w:p>
            <w:pPr>
              <w:spacing w:after="160"/>
            </w:pPr>
            <w:r>
              <w:rPr>
                <w:rStyle w:val="row-content-rich-text"/>
              </w:rPr>
              <w:t xml:space="preserve">The 5 moments for hand hygiene to be audited are:</w:t>
            </w:r>
          </w:p>
          <w:p>
            <w:pPr>
              <w:pStyle w:val="ListParagraph"/>
              <w:numPr>
                <w:ilvl w:val="0"/>
                <w:numId w:val="3"/>
              </w:numPr>
            </w:pPr>
            <w:r>
              <w:rPr>
                <w:rStyle w:val="row-content-rich-text"/>
              </w:rPr>
              <w:t xml:space="preserve">Moment 1: Before touching a patient</w:t>
            </w:r>
          </w:p>
          <w:p>
            <w:pPr>
              <w:pStyle w:val="ListParagraph"/>
              <w:numPr>
                <w:ilvl w:val="0"/>
                <w:numId w:val="3"/>
              </w:numPr>
            </w:pPr>
            <w:r>
              <w:rPr>
                <w:rStyle w:val="row-content-rich-text"/>
              </w:rPr>
              <w:t xml:space="preserve">Moment 2: Before a procedure</w:t>
            </w:r>
          </w:p>
          <w:p>
            <w:pPr>
              <w:pStyle w:val="ListParagraph"/>
              <w:numPr>
                <w:ilvl w:val="0"/>
                <w:numId w:val="3"/>
              </w:numPr>
            </w:pPr>
            <w:r>
              <w:rPr>
                <w:rStyle w:val="row-content-rich-text"/>
              </w:rPr>
              <w:t xml:space="preserve">Moment 3: After a procedure or body fluid exposure risk</w:t>
            </w:r>
          </w:p>
          <w:p>
            <w:pPr>
              <w:pStyle w:val="ListParagraph"/>
              <w:numPr>
                <w:ilvl w:val="0"/>
                <w:numId w:val="3"/>
              </w:numPr>
            </w:pPr>
            <w:r>
              <w:rPr>
                <w:rStyle w:val="row-content-rich-text"/>
              </w:rPr>
              <w:t xml:space="preserve">Moment 4: After touching a patient</w:t>
            </w:r>
          </w:p>
          <w:p>
            <w:pPr>
              <w:pStyle w:val="ListParagraph"/>
              <w:numPr>
                <w:ilvl w:val="0"/>
                <w:numId w:val="3"/>
              </w:numPr>
            </w:pPr>
            <w:r>
              <w:rPr>
                <w:rStyle w:val="row-content-rich-text"/>
              </w:rPr>
              <w:t xml:space="preserve">Moment 5: After touching a patient’s surroundings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Audit data are provided three times a year by health service organisations to the ACSQHC. After its analysis and reporting of the national dataset, the ACSQHC provides the data to the AIHW. Transfer of data from the ACSQHC to the AIHW normally occurs two months after the close of the audit period. The audit periods are from:</w:t>
            </w:r>
          </w:p>
          <w:p>
            <w:pPr>
              <w:pStyle w:val="ListParagraph"/>
              <w:numPr>
                <w:ilvl w:val="0"/>
                <w:numId w:val="4"/>
              </w:numPr>
            </w:pPr>
            <w:r>
              <w:rPr>
                <w:rStyle w:val="row-content-rich-text"/>
              </w:rPr>
              <w:t xml:space="preserve">1 November to 30 March</w:t>
            </w:r>
          </w:p>
          <w:p>
            <w:pPr>
              <w:pStyle w:val="ListParagraph"/>
              <w:numPr>
                <w:ilvl w:val="0"/>
                <w:numId w:val="4"/>
              </w:numPr>
            </w:pPr>
            <w:r>
              <w:rPr>
                <w:rStyle w:val="row-content-rich-text"/>
              </w:rPr>
              <w:t xml:space="preserve">1 April to 30 June, and</w:t>
            </w:r>
          </w:p>
          <w:p>
            <w:pPr>
              <w:pStyle w:val="ListParagraph"/>
              <w:numPr>
                <w:ilvl w:val="0"/>
                <w:numId w:val="4"/>
              </w:numPr>
            </w:pPr>
            <w:r>
              <w:rPr>
                <w:rStyle w:val="row-content-rich-text"/>
              </w:rPr>
              <w:t xml:space="preserve">1 July to 31 October each year.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01/11/2012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end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31/03/2023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Glossary items relevant to this NBEDS include:</w:t>
            </w:r>
          </w:p>
          <w:p>
            <w:pPr>
              <w:pStyle w:val="ListParagraph"/>
              <w:numPr>
                <w:ilvl w:val="0"/>
                <w:numId w:val="5"/>
              </w:numPr>
            </w:pPr>
            <w:hyperlink w:tooltip="An occasion in a healthcare setting where there is a perceived or actual risk of pathogen transmission from one surface to another via the hands and a hand hygiene action is appropriately undertaken." w:history="true" r:id="R48f339a193004557">
              <w:r>
                <w:rPr>
                  <w:rStyle w:val="Hyperlink"/>
                  <w:b/>
                </w:rPr>
                <w:t xml:space="preserve">Compliant hand hygiene moment</w:t>
              </w:r>
            </w:hyperlink>
          </w:p>
          <w:p>
            <w:pPr>
              <w:pStyle w:val="ListParagraph"/>
              <w:numPr>
                <w:ilvl w:val="0"/>
                <w:numId w:val="5"/>
              </w:numPr>
            </w:pPr>
            <w:hyperlink w:tooltip="A classification scheme that divides an area into mutually exclusive sub-areas based on geographic location." w:history="true" r:id="Rcb0e8b25745c440d">
              <w:r>
                <w:rPr>
                  <w:rStyle w:val="Hyperlink"/>
                  <w:b/>
                </w:rPr>
                <w:t xml:space="preserve">Geographic indicator</w:t>
              </w:r>
            </w:hyperlink>
          </w:p>
          <w:p>
            <w:pPr>
              <w:pStyle w:val="ListParagraph"/>
              <w:numPr>
                <w:ilvl w:val="0"/>
                <w:numId w:val="5"/>
              </w:numPr>
            </w:pPr>
            <w:hyperlink w:tooltip="An occasion in a healthcare setting where there is a perceived or actual risk of pathogen transmission from one surface to another via the hands." w:history="true" r:id="R23b6e76b56164046">
              <w:r>
                <w:rPr>
                  <w:rStyle w:val="Hyperlink"/>
                  <w:b/>
                </w:rPr>
                <w:t xml:space="preserve">Hand hygiene moment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ACSQHC (Australian Commission on Safety and Quality in Health Care) 2019. </w:t>
            </w:r>
            <w:hyperlink w:history="true" r:id="Ra85053f4ddfa467e">
              <w:r>
                <w:rPr>
                  <w:rStyle w:val="Hyperlink"/>
                </w:rPr>
                <w:t xml:space="preserve">National hand hygiene initiative manual</w:t>
              </w:r>
            </w:hyperlink>
            <w:r>
              <w:rPr>
                <w:rStyle w:val="row-content-rich-text"/>
              </w:rPr>
              <w:t xml:space="preserve">. ACSQHC: Sydney, viewed 8 December 2022,</w:t>
            </w:r>
            <w:hyperlink w:history="true" r:id="Ra8f5e4e25a5244de">
              <w:r>
                <w:rPr>
                  <w:rStyle w:val="Hyperlink"/>
                </w:rPr>
                <w:t xml:space="preserve"> https://www.safetyandquality.gov.au/sites/default/files/2021-07/nhhi_user_manual_-_october_2019_-_revised_jun_2021.pdf</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ACSQHC 2022. </w:t>
            </w:r>
            <w:hyperlink w:history="true" r:id="Rfe857f791f2a4af3">
              <w:r>
                <w:rPr>
                  <w:rStyle w:val="Hyperlink"/>
                </w:rPr>
                <w:t xml:space="preserve">The NSQHS Standards</w:t>
              </w:r>
            </w:hyperlink>
            <w:r>
              <w:rPr>
                <w:rStyle w:val="row-content-rich-text"/>
              </w:rPr>
              <w:t xml:space="preserve">. ACSQHC: Canberra, viewed 15 February 2022, </w:t>
            </w:r>
            <w:hyperlink w:history="true" r:id="Rc39c8556cf2e4862">
              <w:r>
                <w:rPr>
                  <w:rStyle w:val="Hyperlink"/>
                </w:rPr>
                <w:t xml:space="preserve">https://www.safetyandquality.gov.au/standards/nsqhs-standards</w:t>
              </w:r>
            </w:hyperlink>
          </w:p>
          <w:p>
            <w:pPr>
              <w:spacing w:after="160"/>
            </w:pPr>
            <w:r>
              <w:rPr>
                <w:rStyle w:val="row-content-rich-text"/>
              </w:rPr>
              <w:t xml:space="preserve">ACSQHC 2015. </w:t>
            </w:r>
            <w:hyperlink w:history="true" r:id="R82b8d528be184080">
              <w:r>
                <w:rPr>
                  <w:rStyle w:val="Hyperlink"/>
                </w:rPr>
                <w:t xml:space="preserve">Data definitions for auditing.  </w:t>
              </w:r>
            </w:hyperlink>
            <w:r>
              <w:rPr>
                <w:rStyle w:val="row-content-rich-text"/>
              </w:rPr>
              <w:t xml:space="preserve">ACSQHC: Canberra, viewed 15 February 2022, </w:t>
            </w:r>
            <w:hyperlink w:history="true" r:id="R98f0247dd1054ef0">
              <w:r>
                <w:rPr>
                  <w:rStyle w:val="Hyperlink"/>
                </w:rPr>
                <w:t xml:space="preserve">https://www.safetyandquality.gov.au/our-work/infection-prevention-and-control/national-hand-hygiene-initiative-nhhi/national-audits/data-definitions-auditing</w:t>
              </w:r>
            </w:hyperlink>
          </w:p>
          <w:p>
            <w:pPr/>
            <w:r>
              <w:rPr>
                <w:rStyle w:val="row-content-rich-text"/>
              </w:rPr>
              <w:t xml:space="preserve">AIHW (Australian Institute of Health and Welfare) 2015. </w:t>
            </w:r>
            <w:hyperlink w:tooltip="Australian hospital peer groups" w:history="true" r:id="R9bdd1f1bff474242">
              <w:r>
                <w:rPr>
                  <w:rStyle w:val="Hyperlink"/>
                </w:rPr>
                <w:t xml:space="preserve">Australian hospital peer groups</w:t>
              </w:r>
            </w:hyperlink>
            <w:r>
              <w:rPr>
                <w:rStyle w:val="row-content-rich-text"/>
              </w:rPr>
              <w:t xml:space="preserve">. Health services series no. 66. Cat. no. HSE 170. AIHW: Canberra, viewed 15 February 2022, </w:t>
            </w:r>
            <w:hyperlink w:history="true" r:id="Rbe46582581774e11">
              <w:r>
                <w:rPr>
                  <w:rStyle w:val="Hyperlink"/>
                </w:rPr>
                <w:t xml:space="preserve">https://www.aihw.gov.au/reports/hospitals/australian-hospital-peer-groups/summary</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cd9bc79e8d42474d">
              <w:r>
                <w:rPr>
                  <w:rStyle w:val="Hyperlink"/>
                </w:rPr>
                <w:t xml:space="preserve">Hand hygiene NBEDS 2023–</w:t>
              </w:r>
            </w:hyperlink>
          </w:p>
          <w:p>
            <w:pPr>
              <w:pStyle w:val="registration-status"/>
              <w:spacing w:before="0" w:after="0"/>
            </w:pPr>
            <w:hyperlink w:history="true" r:id="Rbfacdb61a06b444d">
              <w:r>
                <w:rPr>
                  <w:rStyle w:val="Hyperlink"/>
                  <w:color w:val="244061"/>
                </w:rPr>
                <w:t xml:space="preserve">Health</w:t>
              </w:r>
            </w:hyperlink>
            <w:r>
              <w:rPr>
                <w:rStyle w:val="row-content"/>
                <w:color w:val="244061"/>
              </w:rPr>
              <w:t xml:space="preserve">, Standard 29/05/2024</w:t>
            </w:r>
          </w:p>
          <w:p>
            <w:r>
              <w:br/>
            </w:r>
            <w:r>
              <w:rPr>
                <w:rStyle w:val="row-content"/>
              </w:rPr>
              <w:t xml:space="preserve">See also </w:t>
            </w:r>
            <w:hyperlink w:history="true" r:id="R30c1c6aa37284357">
              <w:r>
                <w:rPr>
                  <w:rStyle w:val="Hyperlink"/>
                </w:rPr>
                <w:t xml:space="preserve">Local Hospital Networks/Public hospital establishments NMDS 2017–18 </w:t>
              </w:r>
            </w:hyperlink>
          </w:p>
          <w:p>
            <w:pPr>
              <w:pStyle w:val="registration-status"/>
              <w:spacing w:before="0" w:after="0"/>
            </w:pPr>
            <w:hyperlink w:history="true" r:id="R27849c3521554ef6">
              <w:r>
                <w:rPr>
                  <w:rStyle w:val="Hyperlink"/>
                  <w:color w:val="244061"/>
                </w:rPr>
                <w:t xml:space="preserve">Health</w:t>
              </w:r>
            </w:hyperlink>
            <w:r>
              <w:rPr>
                <w:rStyle w:val="row-content"/>
                <w:color w:val="244061"/>
              </w:rPr>
              <w:t xml:space="preserve">, Superseded 25/01/2018</w:t>
            </w:r>
          </w:p>
          <w:p>
            <w:r>
              <w:br/>
            </w:r>
            <w:r>
              <w:rPr>
                <w:rStyle w:val="row-content"/>
              </w:rPr>
              <w:t xml:space="preserve">See also </w:t>
            </w:r>
            <w:hyperlink w:history="true" r:id="R8c9b92e127624831">
              <w:r>
                <w:rPr>
                  <w:rStyle w:val="Hyperlink"/>
                </w:rPr>
                <w:t xml:space="preserve">Local Hospital Networks/Public hospital establishments NMDS 2018–19 </w:t>
              </w:r>
            </w:hyperlink>
          </w:p>
          <w:p>
            <w:pPr>
              <w:pStyle w:val="registration-status"/>
              <w:spacing w:before="0" w:after="0"/>
            </w:pPr>
            <w:hyperlink w:history="true" r:id="R004efdbc025247cc">
              <w:r>
                <w:rPr>
                  <w:rStyle w:val="Hyperlink"/>
                  <w:color w:val="244061"/>
                </w:rPr>
                <w:t xml:space="preserve">Health</w:t>
              </w:r>
            </w:hyperlink>
            <w:r>
              <w:rPr>
                <w:rStyle w:val="row-content"/>
                <w:color w:val="244061"/>
              </w:rPr>
              <w:t xml:space="preserve">, Superseded 17/10/2018</w:t>
            </w:r>
          </w:p>
          <w:p>
            <w:r>
              <w:br/>
            </w:r>
            <w:r>
              <w:rPr>
                <w:rStyle w:val="row-content"/>
              </w:rPr>
              <w:t xml:space="preserve">See also </w:t>
            </w:r>
            <w:hyperlink w:history="true" r:id="Rc3e51adb27504da6">
              <w:r>
                <w:rPr>
                  <w:rStyle w:val="Hyperlink"/>
                </w:rPr>
                <w:t xml:space="preserve">Local Hospital Networks/Public hospital establishments NMDS 2019–20 </w:t>
              </w:r>
            </w:hyperlink>
          </w:p>
          <w:p>
            <w:pPr>
              <w:pStyle w:val="registration-status"/>
              <w:spacing w:before="0" w:after="0"/>
            </w:pPr>
            <w:hyperlink w:history="true" r:id="R6f6d4ea39d5b4a4f">
              <w:r>
                <w:rPr>
                  <w:rStyle w:val="Hyperlink"/>
                  <w:color w:val="244061"/>
                </w:rPr>
                <w:t xml:space="preserve">Health</w:t>
              </w:r>
            </w:hyperlink>
            <w:r>
              <w:rPr>
                <w:rStyle w:val="row-content"/>
                <w:color w:val="244061"/>
              </w:rPr>
              <w:t xml:space="preserve">, Superseded 18/12/2019</w:t>
            </w:r>
          </w:p>
          <w:p>
            <w:r>
              <w:br/>
            </w:r>
            <w:r>
              <w:rPr>
                <w:rStyle w:val="row-content"/>
              </w:rPr>
              <w:t xml:space="preserve">See also </w:t>
            </w:r>
            <w:hyperlink w:history="true" r:id="R0307440f416e4c38">
              <w:r>
                <w:rPr>
                  <w:rStyle w:val="Hyperlink"/>
                </w:rPr>
                <w:t xml:space="preserve">Local Hospital Networks/Public hospital establishments NMDS 2020–21</w:t>
              </w:r>
            </w:hyperlink>
          </w:p>
          <w:p>
            <w:pPr>
              <w:pStyle w:val="registration-status"/>
              <w:spacing w:before="0" w:after="0"/>
            </w:pPr>
            <w:hyperlink w:history="true" r:id="R08acd86600924a44">
              <w:r>
                <w:rPr>
                  <w:rStyle w:val="Hyperlink"/>
                  <w:color w:val="244061"/>
                </w:rPr>
                <w:t xml:space="preserve">Health</w:t>
              </w:r>
            </w:hyperlink>
            <w:r>
              <w:rPr>
                <w:rStyle w:val="row-content"/>
                <w:color w:val="244061"/>
              </w:rPr>
              <w:t xml:space="preserve">, Superseded 05/02/2021</w:t>
            </w:r>
          </w:p>
          <w:p>
            <w:r>
              <w:br/>
            </w:r>
            <w:r>
              <w:rPr>
                <w:rStyle w:val="row-content"/>
              </w:rPr>
              <w:t xml:space="preserve">See also </w:t>
            </w:r>
            <w:hyperlink w:history="true" r:id="R5d0b62efcd4c4915">
              <w:r>
                <w:rPr>
                  <w:rStyle w:val="Hyperlink"/>
                </w:rPr>
                <w:t xml:space="preserve">Local Hospital Networks/Public hospital establishments NMDS 2021–22</w:t>
              </w:r>
            </w:hyperlink>
          </w:p>
          <w:p>
            <w:pPr>
              <w:pStyle w:val="registration-status"/>
              <w:spacing w:before="0" w:after="0"/>
            </w:pPr>
            <w:hyperlink w:history="true" r:id="Re7f3ee4e8f824fe2">
              <w:r>
                <w:rPr>
                  <w:rStyle w:val="Hyperlink"/>
                  <w:color w:val="244061"/>
                </w:rPr>
                <w:t xml:space="preserve">Health</w:t>
              </w:r>
            </w:hyperlink>
            <w:r>
              <w:rPr>
                <w:rStyle w:val="row-content"/>
                <w:color w:val="244061"/>
              </w:rPr>
              <w:t xml:space="preserve">, Superseded 17/12/2021</w:t>
            </w:r>
          </w:p>
          <w:p>
            <w:r>
              <w:br/>
            </w:r>
            <w:r>
              <w:rPr>
                <w:rStyle w:val="row-content"/>
              </w:rPr>
              <w:t xml:space="preserve">See also </w:t>
            </w:r>
            <w:hyperlink w:history="true" r:id="R63aea6cb111040d8">
              <w:r>
                <w:rPr>
                  <w:rStyle w:val="Hyperlink"/>
                </w:rPr>
                <w:t xml:space="preserve">Local Hospital Networks/Public hospital establishments NMDS 2022–23</w:t>
              </w:r>
            </w:hyperlink>
          </w:p>
          <w:p>
            <w:pPr>
              <w:pStyle w:val="registration-status"/>
              <w:spacing w:before="0" w:after="0"/>
            </w:pPr>
            <w:hyperlink w:history="true" r:id="R1ef80591c8bd4ca1">
              <w:r>
                <w:rPr>
                  <w:rStyle w:val="Hyperlink"/>
                  <w:color w:val="244061"/>
                </w:rPr>
                <w:t xml:space="preserve">Health</w:t>
              </w:r>
            </w:hyperlink>
            <w:r>
              <w:rPr>
                <w:rStyle w:val="row-content"/>
                <w:color w:val="244061"/>
              </w:rPr>
              <w:t xml:space="preserve">, Superseded 09/12/2022</w:t>
            </w:r>
          </w:p>
          <w:p>
            <w:r>
              <w:br/>
            </w:r>
            <w:r>
              <w:rPr>
                <w:rStyle w:val="row-content"/>
              </w:rPr>
              <w:t xml:space="preserve">See also </w:t>
            </w:r>
            <w:hyperlink w:history="true" r:id="R0bb0521d8c3a422d">
              <w:r>
                <w:rPr>
                  <w:rStyle w:val="Hyperlink"/>
                </w:rPr>
                <w:t xml:space="preserve">Local Hospital Networks/Public hospital establishments NMDS 2023–24</w:t>
              </w:r>
            </w:hyperlink>
          </w:p>
          <w:p>
            <w:pPr>
              <w:pStyle w:val="registration-status"/>
              <w:spacing w:before="0" w:after="0"/>
            </w:pPr>
            <w:hyperlink w:history="true" r:id="R57741dccd72b465e">
              <w:r>
                <w:rPr>
                  <w:rStyle w:val="Hyperlink"/>
                  <w:color w:val="244061"/>
                </w:rPr>
                <w:t xml:space="preserve">Health</w:t>
              </w:r>
            </w:hyperlink>
            <w:r>
              <w:rPr>
                <w:rStyle w:val="row-content"/>
                <w:color w:val="244061"/>
              </w:rPr>
              <w:t xml:space="preserve">, Superseded 06/12/2023</w:t>
            </w:r>
          </w:p>
          <w:p>
            <w:r>
              <w:br/>
            </w:r>
            <w:r>
              <w:rPr>
                <w:rStyle w:val="row-content"/>
              </w:rPr>
              <w:t xml:space="preserve">See also </w:t>
            </w:r>
            <w:hyperlink w:history="true" r:id="R5856769b634c4f65">
              <w:r>
                <w:rPr>
                  <w:rStyle w:val="Hyperlink"/>
                </w:rPr>
                <w:t xml:space="preserve">Local Hospital Networks/Public hospital establishments NMDS 2024–25</w:t>
              </w:r>
            </w:hyperlink>
          </w:p>
          <w:p>
            <w:pPr>
              <w:pStyle w:val="registration-status"/>
              <w:spacing w:before="0" w:after="0"/>
            </w:pPr>
            <w:hyperlink w:history="true" r:id="R1356f0c734344df5">
              <w:r>
                <w:rPr>
                  <w:rStyle w:val="Hyperlink"/>
                  <w:color w:val="244061"/>
                </w:rPr>
                <w:t xml:space="preserve">Health</w:t>
              </w:r>
            </w:hyperlink>
            <w:r>
              <w:rPr>
                <w:rStyle w:val="row-content"/>
                <w:color w:val="244061"/>
              </w:rPr>
              <w:t xml:space="preserve">, Standard 06/12/2023</w:t>
            </w:r>
          </w:p>
          <w:p>
            <w:r>
              <w:br/>
            </w:r>
            <w:r>
              <w:rPr>
                <w:rStyle w:val="row-content"/>
              </w:rPr>
              <w:t xml:space="preserve">See also </w:t>
            </w:r>
            <w:hyperlink w:history="true" r:id="R17995aa77271449e">
              <w:r>
                <w:rPr>
                  <w:rStyle w:val="Hyperlink"/>
                </w:rPr>
                <w:t xml:space="preserve">Public hospital establishments NMDS 2012-13</w:t>
              </w:r>
            </w:hyperlink>
          </w:p>
          <w:p>
            <w:pPr>
              <w:pStyle w:val="registration-status"/>
              <w:spacing w:before="0" w:after="0"/>
            </w:pPr>
            <w:hyperlink w:history="true" r:id="Re8e94c4803a146ca">
              <w:r>
                <w:rPr>
                  <w:rStyle w:val="Hyperlink"/>
                  <w:color w:val="244061"/>
                </w:rPr>
                <w:t xml:space="preserve">Health</w:t>
              </w:r>
            </w:hyperlink>
            <w:r>
              <w:rPr>
                <w:rStyle w:val="row-content"/>
                <w:color w:val="244061"/>
              </w:rPr>
              <w:t xml:space="preserve">, Superseded 07/02/2013</w:t>
            </w:r>
          </w:p>
          <w:p>
            <w:r>
              <w:br/>
            </w:r>
            <w:r>
              <w:rPr>
                <w:rStyle w:val="row-content"/>
              </w:rPr>
              <w:t xml:space="preserve">See also </w:t>
            </w:r>
            <w:hyperlink w:history="true" r:id="Rc26ec93bd3554544">
              <w:r>
                <w:rPr>
                  <w:rStyle w:val="Hyperlink"/>
                </w:rPr>
                <w:t xml:space="preserve">Public hospital establishments NMDS 2013-14</w:t>
              </w:r>
            </w:hyperlink>
          </w:p>
          <w:p>
            <w:pPr>
              <w:pStyle w:val="registration-status"/>
              <w:spacing w:before="0" w:after="0"/>
            </w:pPr>
            <w:hyperlink w:history="true" r:id="Ra3029763722845fd">
              <w:r>
                <w:rPr>
                  <w:rStyle w:val="Hyperlink"/>
                  <w:color w:val="244061"/>
                </w:rPr>
                <w:t xml:space="preserve">Health</w:t>
              </w:r>
            </w:hyperlink>
            <w:r>
              <w:rPr>
                <w:rStyle w:val="row-content"/>
                <w:color w:val="244061"/>
              </w:rPr>
              <w:t xml:space="preserve">, Superseded 11/04/2014</w:t>
            </w:r>
          </w:p>
          <w:p>
            <w:r>
              <w:br/>
            </w:r>
            <w:r>
              <w:rPr>
                <w:rStyle w:val="row-content"/>
              </w:rPr>
              <w:t xml:space="preserve">See also </w:t>
            </w:r>
            <w:hyperlink w:history="true" r:id="Rcce0939aa49b415a">
              <w:r>
                <w:rPr>
                  <w:rStyle w:val="Hyperlink"/>
                </w:rPr>
                <w:t xml:space="preserve">Public hospital establishments NMDS 2014-15</w:t>
              </w:r>
            </w:hyperlink>
          </w:p>
          <w:p>
            <w:pPr>
              <w:pStyle w:val="registration-status"/>
              <w:spacing w:before="0" w:after="0"/>
            </w:pPr>
            <w:hyperlink w:history="true" r:id="Rd90d1d87bdba4962">
              <w:r>
                <w:rPr>
                  <w:rStyle w:val="Hyperlink"/>
                  <w:color w:val="244061"/>
                </w:rPr>
                <w:t xml:space="preserve">Health</w:t>
              </w:r>
            </w:hyperlink>
            <w:r>
              <w:rPr>
                <w:rStyle w:val="row-content"/>
                <w:color w:val="244061"/>
              </w:rPr>
              <w:t xml:space="preserve">, Superseded 04/02/2015</w:t>
            </w:r>
          </w:p>
          <w:p>
            <w:r>
              <w:br/>
            </w:r>
            <w:r>
              <w:rPr>
                <w:rStyle w:val="row-content"/>
              </w:rPr>
              <w:t xml:space="preserve">See also </w:t>
            </w:r>
            <w:hyperlink w:history="true" r:id="R0cd21822083e4d09">
              <w:r>
                <w:rPr>
                  <w:rStyle w:val="Hyperlink"/>
                </w:rPr>
                <w:t xml:space="preserve">Public hospital establishments NMDS 2015-16</w:t>
              </w:r>
            </w:hyperlink>
          </w:p>
          <w:p>
            <w:pPr>
              <w:pStyle w:val="registration-status"/>
              <w:spacing w:before="0" w:after="0"/>
            </w:pPr>
            <w:hyperlink w:history="true" r:id="R9c7f4f1eef3145ad">
              <w:r>
                <w:rPr>
                  <w:rStyle w:val="Hyperlink"/>
                  <w:color w:val="244061"/>
                </w:rPr>
                <w:t xml:space="preserve">Health</w:t>
              </w:r>
            </w:hyperlink>
            <w:r>
              <w:rPr>
                <w:rStyle w:val="row-content"/>
                <w:color w:val="244061"/>
              </w:rPr>
              <w:t xml:space="preserve">, Superseded 04/08/2016</w:t>
            </w:r>
          </w:p>
          <w:p>
            <w:r>
              <w:br/>
            </w:r>
            <w:r>
              <w:rPr>
                <w:rStyle w:val="row-content"/>
              </w:rPr>
              <w:t xml:space="preserve">See also </w:t>
            </w:r>
            <w:hyperlink w:history="true" r:id="R7f90baaf1b914c41">
              <w:r>
                <w:rPr>
                  <w:rStyle w:val="Hyperlink"/>
                </w:rPr>
                <w:t xml:space="preserve">Public hospital establishments NMDS 2016–17</w:t>
              </w:r>
            </w:hyperlink>
          </w:p>
          <w:p>
            <w:pPr>
              <w:pStyle w:val="registration-status"/>
              <w:spacing w:before="0" w:after="0"/>
            </w:pPr>
            <w:hyperlink w:history="true" r:id="R60fb6613f0f14179">
              <w:r>
                <w:rPr>
                  <w:rStyle w:val="Hyperlink"/>
                  <w:color w:val="244061"/>
                </w:rPr>
                <w:t xml:space="preserve">Health</w:t>
              </w:r>
            </w:hyperlink>
            <w:r>
              <w:rPr>
                <w:rStyle w:val="row-content"/>
                <w:color w:val="244061"/>
              </w:rPr>
              <w:t xml:space="preserve">, Superseded 03/11/2016</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fac96d06fa94ed5">
                    <w:r>
                      <w:rPr>
                        <w:rStyle w:val="Hyperlink"/>
                      </w:rPr>
                      <w:t xml:space="preserve">Hand hygiene moments type observed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13e39f9d101141ee">
                    <w:r>
                      <w:rPr>
                        <w:rStyle w:val="Hyperlink"/>
                      </w:rPr>
                      <w:t xml:space="preserve">Hand hygiene moment—hand hygiene moment type,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5</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dc32a36d2e7d4c9b">
                    <w:r>
                      <w:rPr>
                        <w:rStyle w:val="Hyperlink"/>
                      </w:rPr>
                      <w:t xml:space="preserve">Establishment—number of compliant hand hygiene moments observed, total NN[NNNN]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5</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68b7f5ef2a3e4059">
                    <w:r>
                      <w:rPr>
                        <w:rStyle w:val="Hyperlink"/>
                      </w:rPr>
                      <w:t xml:space="preserve">Establishment—number of hand hygiene moments observed, total NN[NNNN]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5</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c6d6a1143b9413e">
                    <w:r>
                      <w:rPr>
                        <w:rStyle w:val="Hyperlink"/>
                      </w:rPr>
                      <w:t xml:space="preserve">Healthcare worker hand hygiene moments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76cdb9b88b024845">
                    <w:r>
                      <w:rPr>
                        <w:rStyle w:val="Hyperlink"/>
                      </w:rPr>
                      <w:t xml:space="preserve">Establishment—staffing categories, healthcare worker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6ffb647a10264584">
                    <w:r>
                      <w:rPr>
                        <w:rStyle w:val="Hyperlink"/>
                      </w:rPr>
                      <w:t xml:space="preserve">Establishment—number of compliant hand hygiene moments observed, total NN[NNNN]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8d103076c92a4303">
                    <w:r>
                      <w:rPr>
                        <w:rStyle w:val="Hyperlink"/>
                      </w:rPr>
                      <w:t xml:space="preserve">Establishment—number of hand hygiene moments observed, total NN[NNNN]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ba3bc4bd9a340a4">
                    <w:r>
                      <w:rPr>
                        <w:rStyle w:val="Hyperlink"/>
                      </w:rPr>
                      <w:t xml:space="preserve">Establishment—Australian state/territory identifier,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ddd706053324895">
                    <w:r>
                      <w:rPr>
                        <w:rStyle w:val="Hyperlink"/>
                      </w:rPr>
                      <w:t xml:space="preserve">Establishment—peer group, health code A[X]</w:t>
                    </w:r>
                  </w:hyperlink>
                </w:p>
                <w:p>
                  <w:r>
                    <w:rPr>
                      <w:b/>
                      <w:i/>
                      <w:color w:val="333333"/>
                    </w:rPr>
                    <w:t xml:space="preserve">Conditional obligation:</w:t>
                  </w:r>
                </w:p>
                <w:p>
                  <w:r>
                    <w:t xml:space="preserve">Conditional on the pre-2015 list of peer groups being reported.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8f6b1f8c85c4aa5">
                    <w:r>
                      <w:rPr>
                        <w:rStyle w:val="Hyperlink"/>
                      </w:rPr>
                      <w:t xml:space="preserve">Establishment—peer group, health code NN</w:t>
                    </w:r>
                  </w:hyperlink>
                </w:p>
                <w:p>
                  <w:r>
                    <w:rPr>
                      <w:b/>
                      <w:i/>
                      <w:color w:val="333333"/>
                    </w:rPr>
                    <w:t xml:space="preserve">Conditional obligation:</w:t>
                  </w:r>
                </w:p>
                <w:p>
                  <w:r>
                    <w:t xml:space="preserve">Conditional on the post-2015 list of peer groups being reported.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d885366aea74772">
                    <w:r>
                      <w:rPr>
                        <w:rStyle w:val="Hyperlink"/>
                      </w:rPr>
                      <w:t xml:space="preserve">Establishment—sector,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ece96b8fe874d79">
                    <w:r>
                      <w:rPr>
                        <w:rStyle w:val="Hyperlink"/>
                      </w:rPr>
                      <w:t xml:space="preserve">Hospital—peer group, code AA_AA{_AA}</w:t>
                    </w:r>
                  </w:hyperlink>
                </w:p>
                <w:p>
                  <w:r>
                    <w:rPr>
                      <w:b/>
                      <w:i/>
                      <w:color w:val="333333"/>
                    </w:rPr>
                    <w:t xml:space="preserve">Conditional obligation:</w:t>
                  </w:r>
                </w:p>
                <w:p>
                  <w:r>
                    <w:t xml:space="preserve">Conditional on the establishment being a hospital.</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6c019f8536d4d20">
                    <w:r>
                      <w:rPr>
                        <w:rStyle w:val="Hyperlink"/>
                      </w:rPr>
                      <w:t xml:space="preserve">Organisation—organisation name, text X[X(199)]</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26625c34bc248d9">
                    <w:r>
                      <w:rPr>
                        <w:rStyle w:val="Hyperlink"/>
                      </w:rPr>
                      <w:t xml:space="preserve">Organisation—organisation type, healthcare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15872a3b0d84770">
                    <w:r>
                      <w:rPr>
                        <w:rStyle w:val="Hyperlink"/>
                      </w:rPr>
                      <w:t xml:space="preserve">Record—reference period, hand hygiene audit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9145e835d30341a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768683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0fe3c347255643a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145e835d30341ac" /><Relationship Type="http://schemas.openxmlformats.org/officeDocument/2006/relationships/header" Target="/word/header1.xml" Id="R947a533a72884697" /><Relationship Type="http://schemas.openxmlformats.org/officeDocument/2006/relationships/settings" Target="/word/settings.xml" Id="R8cdfcde15e574157" /><Relationship Type="http://schemas.openxmlformats.org/officeDocument/2006/relationships/styles" Target="/word/styles.xml" Id="R2ec3a6036af241fb" /><Relationship Type="http://schemas.openxmlformats.org/officeDocument/2006/relationships/numbering" Target="/word/numbering.xml" Id="R2284bb615c6c487b" /><Relationship Type="http://schemas.openxmlformats.org/officeDocument/2006/relationships/hyperlink" Target="https://meteor.aihw.gov.au/RegistrationAuthority/12" TargetMode="External" Id="Re4b22a52a91048ef" /><Relationship Type="http://schemas.openxmlformats.org/officeDocument/2006/relationships/hyperlink" Target="https://meteor.aihw.gov.au/content/268953" TargetMode="External" Id="R3b8f6e78d2b74751" /><Relationship Type="http://schemas.openxmlformats.org/officeDocument/2006/relationships/hyperlink" Target="https://www.safetyandquality.gov.au/node/3001" TargetMode="External" Id="R5114bd030d334259" /><Relationship Type="http://schemas.openxmlformats.org/officeDocument/2006/relationships/hyperlink" Target="https://meteor.aihw.gov.au/content/769998" TargetMode="External" Id="R0dbedc209d67457b" /><Relationship Type="http://schemas.openxmlformats.org/officeDocument/2006/relationships/hyperlink" Target="https://meteor.aihw.gov.au/content/769613" TargetMode="External" Id="R489f3c16aa324670" /><Relationship Type="http://schemas.openxmlformats.org/officeDocument/2006/relationships/hyperlink" Target="https://meteor.aihw.gov.au/content/769998" TargetMode="External" Id="R48f339a193004557" /><Relationship Type="http://schemas.openxmlformats.org/officeDocument/2006/relationships/hyperlink" Target="https://meteor.aihw.gov.au/content/722655" TargetMode="External" Id="Rcb0e8b25745c440d" /><Relationship Type="http://schemas.openxmlformats.org/officeDocument/2006/relationships/hyperlink" Target="https://meteor.aihw.gov.au/content/769613" TargetMode="External" Id="R23b6e76b56164046" /><Relationship Type="http://schemas.openxmlformats.org/officeDocument/2006/relationships/hyperlink" Target="https://www.safetyandquality.gov.au/sites/default/files/2021-07/nhhi_user_manual_-_october_2019_-_revised_jun_2021.pdf" TargetMode="External" Id="Ra85053f4ddfa467e" /><Relationship Type="http://schemas.openxmlformats.org/officeDocument/2006/relationships/hyperlink" Target="https://www.safetyandquality.gov.au/sites/default/files/2021-07/nhhi_user_manual_-_october_2019_-_revised_jun_2021.pdf" TargetMode="External" Id="Ra8f5e4e25a5244de" /><Relationship Type="http://schemas.openxmlformats.org/officeDocument/2006/relationships/hyperlink" Target="https://www.safetyandquality.gov.au/standards/nsqhs-standards" TargetMode="External" Id="Rfe857f791f2a4af3" /><Relationship Type="http://schemas.openxmlformats.org/officeDocument/2006/relationships/hyperlink" Target="https://www.safetyandquality.gov.au/standards/nsqhs-standards" TargetMode="External" Id="Rc39c8556cf2e4862" /><Relationship Type="http://schemas.openxmlformats.org/officeDocument/2006/relationships/hyperlink" Target="https://www.safetyandquality.gov.au/our-work/infection-prevention-and-control/national-hand-hygiene-initiative-nhhi/national-audits/data-definitions-auditing#-strong-nbsp-public-peer-group-categories-pre-2015-strong&gt;" TargetMode="External" Id="R82b8d528be184080" /><Relationship Type="http://schemas.openxmlformats.org/officeDocument/2006/relationships/hyperlink" Target="https://www.safetyandquality.gov.au/our-work/infection-prevention-and-control/national-hand-hygiene-initiative-nhhi/national-audits/data-definitions-auditing" TargetMode="External" Id="R98f0247dd1054ef0" /><Relationship Type="http://schemas.openxmlformats.org/officeDocument/2006/relationships/hyperlink" Target="https://www.aihw.gov.au/reports/hospitals/australian-hospital-peer-groups/summary" TargetMode="External" Id="R9bdd1f1bff474242" /><Relationship Type="http://schemas.openxmlformats.org/officeDocument/2006/relationships/hyperlink" Target="https://www.aihw.gov.au/reports/hospitals/australian-hospital-peer-groups/summary" TargetMode="External" Id="Rbe46582581774e11" /><Relationship Type="http://schemas.openxmlformats.org/officeDocument/2006/relationships/hyperlink" Target="https://meteor.aihw.gov.au/content/789327" TargetMode="External" Id="Rcd9bc79e8d42474d" /><Relationship Type="http://schemas.openxmlformats.org/officeDocument/2006/relationships/hyperlink" Target="https://meteor.aihw.gov.au/RegistrationAuthority/12" TargetMode="External" Id="Rbfacdb61a06b444d" /><Relationship Type="http://schemas.openxmlformats.org/officeDocument/2006/relationships/hyperlink" Target="https://meteor.aihw.gov.au/content/642698" TargetMode="External" Id="R30c1c6aa37284357" /><Relationship Type="http://schemas.openxmlformats.org/officeDocument/2006/relationships/hyperlink" Target="https://meteor.aihw.gov.au/RegistrationAuthority/12" TargetMode="External" Id="R27849c3521554ef6" /><Relationship Type="http://schemas.openxmlformats.org/officeDocument/2006/relationships/hyperlink" Target="https://meteor.aihw.gov.au/content/679203" TargetMode="External" Id="R8c9b92e127624831" /><Relationship Type="http://schemas.openxmlformats.org/officeDocument/2006/relationships/hyperlink" Target="https://meteor.aihw.gov.au/RegistrationAuthority/12" TargetMode="External" Id="R004efdbc025247cc" /><Relationship Type="http://schemas.openxmlformats.org/officeDocument/2006/relationships/hyperlink" Target="https://meteor.aihw.gov.au/content/706340" TargetMode="External" Id="Rc3e51adb27504da6" /><Relationship Type="http://schemas.openxmlformats.org/officeDocument/2006/relationships/hyperlink" Target="https://meteor.aihw.gov.au/RegistrationAuthority/12" TargetMode="External" Id="R6f6d4ea39d5b4a4f" /><Relationship Type="http://schemas.openxmlformats.org/officeDocument/2006/relationships/hyperlink" Target="https://meteor.aihw.gov.au/content/713848" TargetMode="External" Id="R0307440f416e4c38" /><Relationship Type="http://schemas.openxmlformats.org/officeDocument/2006/relationships/hyperlink" Target="https://meteor.aihw.gov.au/RegistrationAuthority/12" TargetMode="External" Id="R08acd86600924a44" /><Relationship Type="http://schemas.openxmlformats.org/officeDocument/2006/relationships/hyperlink" Target="https://meteor.aihw.gov.au/content/727356" TargetMode="External" Id="R5d0b62efcd4c4915" /><Relationship Type="http://schemas.openxmlformats.org/officeDocument/2006/relationships/hyperlink" Target="https://meteor.aihw.gov.au/RegistrationAuthority/12" TargetMode="External" Id="Re7f3ee4e8f824fe2" /><Relationship Type="http://schemas.openxmlformats.org/officeDocument/2006/relationships/hyperlink" Target="https://meteor.aihw.gov.au/content/742044" TargetMode="External" Id="R63aea6cb111040d8" /><Relationship Type="http://schemas.openxmlformats.org/officeDocument/2006/relationships/hyperlink" Target="https://meteor.aihw.gov.au/RegistrationAuthority/12" TargetMode="External" Id="R1ef80591c8bd4ca1" /><Relationship Type="http://schemas.openxmlformats.org/officeDocument/2006/relationships/hyperlink" Target="https://meteor.aihw.gov.au/content/756101" TargetMode="External" Id="R0bb0521d8c3a422d" /><Relationship Type="http://schemas.openxmlformats.org/officeDocument/2006/relationships/hyperlink" Target="https://meteor.aihw.gov.au/RegistrationAuthority/12" TargetMode="External" Id="R57741dccd72b465e" /><Relationship Type="http://schemas.openxmlformats.org/officeDocument/2006/relationships/hyperlink" Target="https://meteor.aihw.gov.au/content/775625" TargetMode="External" Id="R5856769b634c4f65" /><Relationship Type="http://schemas.openxmlformats.org/officeDocument/2006/relationships/hyperlink" Target="https://meteor.aihw.gov.au/RegistrationAuthority/12" TargetMode="External" Id="R1356f0c734344df5" /><Relationship Type="http://schemas.openxmlformats.org/officeDocument/2006/relationships/hyperlink" Target="https://meteor.aihw.gov.au/content/470656" TargetMode="External" Id="R17995aa77271449e" /><Relationship Type="http://schemas.openxmlformats.org/officeDocument/2006/relationships/hyperlink" Target="https://meteor.aihw.gov.au/RegistrationAuthority/12" TargetMode="External" Id="Re8e94c4803a146ca" /><Relationship Type="http://schemas.openxmlformats.org/officeDocument/2006/relationships/hyperlink" Target="https://meteor.aihw.gov.au/content/504279" TargetMode="External" Id="Rc26ec93bd3554544" /><Relationship Type="http://schemas.openxmlformats.org/officeDocument/2006/relationships/hyperlink" Target="https://meteor.aihw.gov.au/RegistrationAuthority/12" TargetMode="External" Id="Ra3029763722845fd" /><Relationship Type="http://schemas.openxmlformats.org/officeDocument/2006/relationships/hyperlink" Target="https://meteor.aihw.gov.au/content/540101" TargetMode="External" Id="Rcce0939aa49b415a" /><Relationship Type="http://schemas.openxmlformats.org/officeDocument/2006/relationships/hyperlink" Target="https://meteor.aihw.gov.au/RegistrationAuthority/12" TargetMode="External" Id="Rd90d1d87bdba4962" /><Relationship Type="http://schemas.openxmlformats.org/officeDocument/2006/relationships/hyperlink" Target="https://meteor.aihw.gov.au/content/600230" TargetMode="External" Id="R0cd21822083e4d09" /><Relationship Type="http://schemas.openxmlformats.org/officeDocument/2006/relationships/hyperlink" Target="https://meteor.aihw.gov.au/RegistrationAuthority/12" TargetMode="External" Id="R9c7f4f1eef3145ad" /><Relationship Type="http://schemas.openxmlformats.org/officeDocument/2006/relationships/hyperlink" Target="https://meteor.aihw.gov.au/content/615835" TargetMode="External" Id="R7f90baaf1b914c41" /><Relationship Type="http://schemas.openxmlformats.org/officeDocument/2006/relationships/hyperlink" Target="https://meteor.aihw.gov.au/RegistrationAuthority/12" TargetMode="External" Id="R60fb6613f0f14179" /><Relationship Type="http://schemas.openxmlformats.org/officeDocument/2006/relationships/hyperlink" Target="https://meteor.aihw.gov.au/content/768689" TargetMode="External" Id="Rffac96d06fa94ed5" /><Relationship Type="http://schemas.openxmlformats.org/officeDocument/2006/relationships/hyperlink" Target="https://meteor.aihw.gov.au/content/768667" TargetMode="External" Id="R13e39f9d101141ee" /><Relationship Type="http://schemas.openxmlformats.org/officeDocument/2006/relationships/hyperlink" Target="https://meteor.aihw.gov.au/content/768681" TargetMode="External" Id="Rdc32a36d2e7d4c9b" /><Relationship Type="http://schemas.openxmlformats.org/officeDocument/2006/relationships/hyperlink" Target="https://meteor.aihw.gov.au/content/768679" TargetMode="External" Id="R68b7f5ef2a3e4059" /><Relationship Type="http://schemas.openxmlformats.org/officeDocument/2006/relationships/hyperlink" Target="https://meteor.aihw.gov.au/content/768687" TargetMode="External" Id="R1c6d6a1143b9413e" /><Relationship Type="http://schemas.openxmlformats.org/officeDocument/2006/relationships/hyperlink" Target="https://meteor.aihw.gov.au/content/768657" TargetMode="External" Id="R76cdb9b88b024845" /><Relationship Type="http://schemas.openxmlformats.org/officeDocument/2006/relationships/hyperlink" Target="https://meteor.aihw.gov.au/content/768681" TargetMode="External" Id="R6ffb647a10264584" /><Relationship Type="http://schemas.openxmlformats.org/officeDocument/2006/relationships/hyperlink" Target="https://meteor.aihw.gov.au/content/768679" TargetMode="External" Id="R8d103076c92a4303" /><Relationship Type="http://schemas.openxmlformats.org/officeDocument/2006/relationships/hyperlink" Target="https://meteor.aihw.gov.au/content/720081" TargetMode="External" Id="R7ba3bc4bd9a340a4" /><Relationship Type="http://schemas.openxmlformats.org/officeDocument/2006/relationships/hyperlink" Target="https://meteor.aihw.gov.au/content/769360" TargetMode="External" Id="R8ddd706053324895" /><Relationship Type="http://schemas.openxmlformats.org/officeDocument/2006/relationships/hyperlink" Target="https://meteor.aihw.gov.au/content/770057" TargetMode="External" Id="R68f6b1f8c85c4aa5" /><Relationship Type="http://schemas.openxmlformats.org/officeDocument/2006/relationships/hyperlink" Target="https://meteor.aihw.gov.au/content/269977" TargetMode="External" Id="Rad885366aea74772" /><Relationship Type="http://schemas.openxmlformats.org/officeDocument/2006/relationships/hyperlink" Target="https://meteor.aihw.gov.au/content/769319" TargetMode="External" Id="Rfece96b8fe874d79" /><Relationship Type="http://schemas.openxmlformats.org/officeDocument/2006/relationships/hyperlink" Target="https://meteor.aihw.gov.au/content/453823" TargetMode="External" Id="R06c019f8536d4d20" /><Relationship Type="http://schemas.openxmlformats.org/officeDocument/2006/relationships/hyperlink" Target="https://meteor.aihw.gov.au/content/769306" TargetMode="External" Id="R026625c34bc248d9" /><Relationship Type="http://schemas.openxmlformats.org/officeDocument/2006/relationships/hyperlink" Target="https://meteor.aihw.gov.au/content/768699" TargetMode="External" Id="Re15872a3b0d84770" /></Relationships>
</file>

<file path=word/_rels/header1.xml.rels>&#65279;<?xml version="1.0" encoding="utf-8"?><Relationships xmlns="http://schemas.openxmlformats.org/package/2006/relationships"><Relationship Type="http://schemas.openxmlformats.org/officeDocument/2006/relationships/image" Target="/media/image.png" Id="R0fe3c347255643aa" /></Relationships>
</file>